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rPr>
          <w:rFonts w:hint="eastAsia" w:ascii="黑体" w:hAnsi="黑体" w:eastAsia="黑体" w:cs="黑体"/>
          <w:color w:val="000000"/>
          <w:sz w:val="32"/>
          <w:szCs w:val="32"/>
          <w:lang w:val="en-US" w:eastAsia="zh-CN"/>
        </w:rPr>
      </w:pPr>
      <w:bookmarkStart w:id="0" w:name="_GoBack"/>
      <w:bookmarkEnd w:id="0"/>
    </w:p>
    <w:p>
      <w:pPr>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中国人民银行福州中心支行废止的规范性文件目录</w:t>
      </w:r>
    </w:p>
    <w:tbl>
      <w:tblPr>
        <w:tblStyle w:val="4"/>
        <w:tblW w:w="9600" w:type="dxa"/>
        <w:jc w:val="center"/>
        <w:tblLayout w:type="fixed"/>
        <w:tblCellMar>
          <w:top w:w="15" w:type="dxa"/>
          <w:left w:w="15" w:type="dxa"/>
          <w:bottom w:w="15" w:type="dxa"/>
          <w:right w:w="15" w:type="dxa"/>
        </w:tblCellMar>
      </w:tblPr>
      <w:tblGrid>
        <w:gridCol w:w="818"/>
        <w:gridCol w:w="6277"/>
        <w:gridCol w:w="2505"/>
      </w:tblGrid>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序号</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文件名称</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文号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4"/>
                <w:szCs w:val="24"/>
                <w:lang w:eastAsia="zh-CN"/>
              </w:rPr>
            </w:pPr>
            <w:r>
              <w:rPr>
                <w:rFonts w:hint="eastAsia" w:ascii="宋体" w:hAnsi="宋体" w:cs="宋体"/>
                <w:color w:val="000000"/>
                <w:kern w:val="0"/>
                <w:sz w:val="24"/>
                <w:szCs w:val="24"/>
                <w:lang w:val="en-US" w:eastAsia="zh-CN"/>
              </w:rPr>
              <w:t>1</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关于印发《中国人民银行福州中心支行空头支票行政处罚操作流程》的通知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福银〔2005〕151号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4"/>
                <w:szCs w:val="24"/>
                <w:lang w:eastAsia="zh-CN"/>
              </w:rPr>
            </w:pPr>
            <w:r>
              <w:rPr>
                <w:rFonts w:hint="eastAsia" w:ascii="宋体" w:hAnsi="宋体" w:cs="宋体"/>
                <w:color w:val="000000"/>
                <w:kern w:val="0"/>
                <w:sz w:val="24"/>
                <w:szCs w:val="24"/>
                <w:lang w:val="en-US" w:eastAsia="zh-CN"/>
              </w:rPr>
              <w:t>2</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中国人民银行福州中心支行 福建省财政厅 福建省劳动和社会保障厅关于印发《福建省小额（担保）贷款实施细则》的通知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福银〔2006〕87号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4"/>
                <w:szCs w:val="24"/>
                <w:lang w:eastAsia="zh-CN"/>
              </w:rPr>
            </w:pPr>
            <w:r>
              <w:rPr>
                <w:rFonts w:hint="eastAsia" w:ascii="宋体" w:hAnsi="宋体" w:cs="宋体"/>
                <w:color w:val="000000"/>
                <w:kern w:val="0"/>
                <w:sz w:val="24"/>
                <w:szCs w:val="24"/>
                <w:lang w:val="en-US" w:eastAsia="zh-CN"/>
              </w:rPr>
              <w:t>3</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关于印发《福建省小额支付系统银行本票业务实施细则》的通知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福银〔2008〕80号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4</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关于印发《中国人民银行福州中心支行银行业金融统计数据共享管理办法（试行）》的通知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福银〔2008〕116号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5</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关于印发《福建省中央银行会计核算电子对账系统管理实施细则》的通知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福银〔2009〕127号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0"/>
                <w:sz w:val="24"/>
                <w:szCs w:val="24"/>
                <w:lang w:eastAsia="zh-CN"/>
              </w:rPr>
            </w:pPr>
            <w:r>
              <w:rPr>
                <w:rFonts w:hint="eastAsia" w:ascii="宋体" w:hAnsi="宋体" w:cs="宋体"/>
                <w:color w:val="000000"/>
                <w:kern w:val="0"/>
                <w:sz w:val="24"/>
                <w:szCs w:val="24"/>
                <w:lang w:val="en-US" w:eastAsia="zh-CN"/>
              </w:rPr>
              <w:t>6</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关于印发《福建省新设金融机构央行管理与服务指引（试行）》的通知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kern w:val="0"/>
                <w:sz w:val="24"/>
                <w:szCs w:val="24"/>
              </w:rPr>
            </w:pPr>
            <w:r>
              <w:rPr>
                <w:rFonts w:hint="eastAsia" w:ascii="宋体" w:hAnsi="宋体" w:cs="宋体"/>
                <w:color w:val="000000"/>
                <w:kern w:val="0"/>
                <w:sz w:val="24"/>
                <w:szCs w:val="24"/>
              </w:rPr>
              <w:t>福银〔2010〕223号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7</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关于进一步做好联网核查工作有关事项的通知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福银办〔2010〕257号</w:t>
            </w:r>
          </w:p>
        </w:tc>
      </w:tr>
      <w:tr>
        <w:tblPrEx>
          <w:tblCellMar>
            <w:top w:w="15" w:type="dxa"/>
            <w:left w:w="15" w:type="dxa"/>
            <w:bottom w:w="15" w:type="dxa"/>
            <w:right w:w="15" w:type="dxa"/>
          </w:tblCellMar>
        </w:tblPrEx>
        <w:trPr>
          <w:trHeight w:val="566"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8</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转发中国人民银行关于金融机构进一步做好客户个人金融信息保护工作的通知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福银〔2012〕67号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9</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关于印发《中国人民银行福州中心支行综合执法检查办法（试行）》的通知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福银〔2012〕122号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10</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关于进一步加强反洗钱调查管理有关事项的通知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福银办〔2012〕34号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11</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中国人民银行福州中心支行关于印发《福建省银行业金融机构已清分款项差错处理管理办法》的通知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福银〔2013〕252号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12</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中国人民银行福州中心支行关于印发《福建省中小企业和涉农信贷政策导向效果评估管理办法（试行）》的通知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福银〔2013〕286号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13</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中国人民银行福州中心支行关于重申国库集中收付代理银行资格认定工作有关事项的通知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福银〔2015〕326号</w:t>
            </w:r>
          </w:p>
        </w:tc>
      </w:tr>
      <w:tr>
        <w:tblPrEx>
          <w:tblCellMar>
            <w:top w:w="15" w:type="dxa"/>
            <w:left w:w="15" w:type="dxa"/>
            <w:bottom w:w="15" w:type="dxa"/>
            <w:right w:w="15" w:type="dxa"/>
          </w:tblCellMar>
        </w:tblPrEx>
        <w:trPr>
          <w:trHeight w:val="680" w:hRule="atLeast"/>
          <w:jc w:val="center"/>
        </w:trPr>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14</w:t>
            </w:r>
          </w:p>
        </w:tc>
        <w:tc>
          <w:tcPr>
            <w:tcW w:w="627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中国人民银行福州中心支行关于印发《福建省中国人民银行支付系统参与者监督管理办法实施细则》的通知</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rPr>
              <w:t>福银〔2015〕355号</w:t>
            </w:r>
          </w:p>
        </w:tc>
      </w:tr>
    </w:tbl>
    <w:p>
      <w:pPr>
        <w:rPr>
          <w:rFonts w:hint="eastAsia" w:ascii="仿宋_GB2312"/>
          <w:color w:val="000000"/>
        </w:rPr>
      </w:pPr>
    </w:p>
    <w:p>
      <w:pPr>
        <w:rPr>
          <w:rFonts w:hint="eastAsia" w:ascii="黑体" w:hAnsi="黑体" w:eastAsia="黑体" w:cs="黑体"/>
          <w:color w:val="000000"/>
          <w:sz w:val="32"/>
          <w:szCs w:val="32"/>
        </w:rPr>
      </w:pPr>
    </w:p>
    <w:p/>
    <w:sectPr>
      <w:headerReference r:id="rId3" w:type="default"/>
      <w:footerReference r:id="rId4" w:type="default"/>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65D66"/>
    <w:rsid w:val="00C77C1F"/>
    <w:rsid w:val="05F11F21"/>
    <w:rsid w:val="06F15869"/>
    <w:rsid w:val="07A474FE"/>
    <w:rsid w:val="07B54E35"/>
    <w:rsid w:val="07C57184"/>
    <w:rsid w:val="07C8530D"/>
    <w:rsid w:val="13F90BB7"/>
    <w:rsid w:val="25E205FA"/>
    <w:rsid w:val="2A786572"/>
    <w:rsid w:val="2F4931DD"/>
    <w:rsid w:val="2F494460"/>
    <w:rsid w:val="3A3F58C3"/>
    <w:rsid w:val="3B946201"/>
    <w:rsid w:val="3C865D66"/>
    <w:rsid w:val="4499312B"/>
    <w:rsid w:val="5F502CDB"/>
    <w:rsid w:val="61E45241"/>
    <w:rsid w:val="62FF7229"/>
    <w:rsid w:val="63B82AD1"/>
    <w:rsid w:val="65DB502F"/>
    <w:rsid w:val="67C5771C"/>
    <w:rsid w:val="6E1922CD"/>
    <w:rsid w:val="6EA8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2023-02-22T06:29:00Z</dcterms:created>
  <dc:creator>叶小鸿:排版</dc:creator>
  <cp:lastModifiedBy>叶小鸿:排版</cp:lastModifiedBy>
  <dcterms:modified xsi:type="dcterms:W3CDTF">2023-02-22T06:29:37Z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