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44"/>
          <w:szCs w:val="32"/>
        </w:rPr>
      </w:pPr>
      <w:r>
        <w:rPr>
          <w:rFonts w:hint="eastAsia" w:ascii="黑体" w:hAnsi="黑体" w:eastAsia="黑体" w:cs="黑体"/>
          <w:color w:val="auto"/>
          <w:sz w:val="44"/>
          <w:szCs w:val="32"/>
        </w:rPr>
        <w:t>中国人民银行</w:t>
      </w:r>
      <w:r>
        <w:rPr>
          <w:rFonts w:hint="eastAsia" w:ascii="黑体" w:hAnsi="黑体" w:eastAsia="黑体" w:cs="黑体"/>
          <w:color w:val="auto"/>
          <w:sz w:val="44"/>
          <w:szCs w:val="32"/>
          <w:lang w:eastAsia="zh-CN"/>
        </w:rPr>
        <w:t>漳州市分</w:t>
      </w:r>
      <w:r>
        <w:rPr>
          <w:rFonts w:hint="eastAsia" w:ascii="黑体" w:hAnsi="黑体" w:eastAsia="黑体" w:cs="黑体"/>
          <w:color w:val="auto"/>
          <w:sz w:val="44"/>
          <w:szCs w:val="32"/>
        </w:rPr>
        <w:t>行</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auto"/>
          <w:sz w:val="44"/>
          <w:szCs w:val="32"/>
        </w:rPr>
      </w:pPr>
      <w:r>
        <w:rPr>
          <w:rFonts w:hint="eastAsia" w:ascii="黑体" w:hAnsi="黑体" w:eastAsia="黑体" w:cs="黑体"/>
          <w:color w:val="auto"/>
          <w:sz w:val="44"/>
          <w:szCs w:val="32"/>
        </w:rPr>
        <w:t>202</w:t>
      </w:r>
      <w:r>
        <w:rPr>
          <w:rFonts w:hint="eastAsia" w:ascii="黑体" w:hAnsi="黑体" w:eastAsia="黑体" w:cs="黑体"/>
          <w:color w:val="auto"/>
          <w:sz w:val="44"/>
          <w:szCs w:val="32"/>
          <w:lang w:val="en-US" w:eastAsia="zh-CN"/>
        </w:rPr>
        <w:t>3</w:t>
      </w:r>
      <w:r>
        <w:rPr>
          <w:rFonts w:hint="eastAsia" w:ascii="黑体" w:hAnsi="黑体" w:eastAsia="黑体" w:cs="黑体"/>
          <w:color w:val="auto"/>
          <w:sz w:val="44"/>
          <w:szCs w:val="32"/>
        </w:rPr>
        <w:t>年度</w:t>
      </w:r>
      <w:r>
        <w:rPr>
          <w:rFonts w:hint="eastAsia" w:ascii="黑体" w:hAnsi="黑体" w:eastAsia="黑体" w:cs="黑体"/>
          <w:color w:val="auto"/>
          <w:sz w:val="44"/>
          <w:szCs w:val="32"/>
        </w:rPr>
        <w:t>政府信息公开工作报告</w:t>
      </w:r>
    </w:p>
    <w:p>
      <w:pPr>
        <w:pStyle w:val="2"/>
        <w:keepNext w:val="0"/>
        <w:keepLines w:val="0"/>
        <w:pageBreakBefore w:val="0"/>
        <w:widowControl w:val="0"/>
        <w:kinsoku/>
        <w:wordWrap/>
        <w:overflowPunct/>
        <w:topLinePunct w:val="0"/>
        <w:bidi w:val="0"/>
        <w:adjustRightInd w:val="0"/>
        <w:snapToGrid w:val="0"/>
        <w:spacing w:before="0" w:beforeLines="0" w:after="0" w:afterLines="0" w:line="560" w:lineRule="exact"/>
        <w:textAlignment w:val="auto"/>
      </w:pPr>
    </w:p>
    <w:p>
      <w:pPr>
        <w:keepNext w:val="0"/>
        <w:keepLines w:val="0"/>
        <w:pageBreakBefore w:val="0"/>
        <w:widowControl w:val="0"/>
        <w:tabs>
          <w:tab w:val="left" w:pos="2100"/>
        </w:tabs>
        <w:kinsoku/>
        <w:wordWrap/>
        <w:overflowPunct/>
        <w:topLinePunct w:val="0"/>
        <w:autoSpaceDE/>
        <w:autoSpaceDN/>
        <w:bidi w:val="0"/>
        <w:adjustRightInd w:val="0"/>
        <w:snapToGrid w:val="0"/>
        <w:spacing w:line="56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bookmarkStart w:id="0" w:name="OLE_LINK1"/>
      <w:r>
        <w:rPr>
          <w:rFonts w:hint="eastAsia" w:ascii="黑体" w:hAnsi="黑体" w:eastAsia="黑体" w:cs="黑体"/>
          <w:b w:val="0"/>
          <w:bCs w:val="0"/>
          <w:sz w:val="32"/>
          <w:szCs w:val="32"/>
          <w:lang w:val="en-US" w:eastAsia="zh-CN"/>
        </w:rPr>
        <w:t>一、总体情况</w:t>
      </w:r>
    </w:p>
    <w:p>
      <w:pPr>
        <w:keepNext w:val="0"/>
        <w:keepLines w:val="0"/>
        <w:pageBreakBefore w:val="0"/>
        <w:widowControl w:val="0"/>
        <w:tabs>
          <w:tab w:val="left" w:pos="2100"/>
        </w:tabs>
        <w:kinsoku/>
        <w:wordWrap/>
        <w:overflowPunct/>
        <w:topLinePunct w:val="0"/>
        <w:autoSpaceDE/>
        <w:autoSpaceDN/>
        <w:bidi w:val="0"/>
        <w:adjustRightInd w:val="0"/>
        <w:snapToGrid w:val="0"/>
        <w:spacing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2023年，漳州市分行认真贯彻落实政府信息公开工作有关文件和上级行相关工作要求，以公众关切为导向，优化公开内容，规范公开程序，深入推进政府信息公开工作。现将全年情况报告如下：</w:t>
      </w:r>
    </w:p>
    <w:p>
      <w:pPr>
        <w:keepNext w:val="0"/>
        <w:keepLines w:val="0"/>
        <w:pageBreakBefore w:val="0"/>
        <w:widowControl w:val="0"/>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color w:val="0000FF"/>
          <w:sz w:val="32"/>
          <w:szCs w:val="32"/>
          <w:highlight w:val="none"/>
          <w:u w:val="none"/>
          <w:lang w:val="en-US" w:eastAsia="zh-CN"/>
        </w:rPr>
      </w:pPr>
      <w:r>
        <w:rPr>
          <w:rFonts w:hint="eastAsia" w:ascii="楷体_GB2312" w:hAnsi="楷体_GB2312" w:eastAsia="楷体_GB2312" w:cs="楷体_GB2312"/>
          <w:b w:val="0"/>
          <w:bCs w:val="0"/>
          <w:sz w:val="32"/>
          <w:szCs w:val="32"/>
          <w:lang w:val="en-US" w:eastAsia="zh-CN"/>
        </w:rPr>
        <w:t>（一）强化政府信息管理，坚持应公开尽公开。</w:t>
      </w:r>
      <w:r>
        <w:rPr>
          <w:rFonts w:hint="eastAsia" w:ascii="仿宋_GB2312" w:hAnsi="仿宋_GB2312" w:eastAsia="仿宋_GB2312" w:cs="仿宋_GB2312"/>
          <w:b w:val="0"/>
          <w:bCs w:val="0"/>
          <w:color w:val="auto"/>
          <w:sz w:val="32"/>
          <w:szCs w:val="32"/>
          <w:lang w:val="en-US" w:eastAsia="zh-CN"/>
        </w:rPr>
        <w:t>坚持政府信息公开规范化和标准化管理，推动政务服务标准化建设，于年初修订本行《政务服务事项公开目录（2023年）》，并向社会公开</w:t>
      </w:r>
      <w:r>
        <w:rPr>
          <w:rFonts w:hint="eastAsia" w:ascii="仿宋_GB2312" w:hAnsi="仿宋_GB2312" w:eastAsia="仿宋_GB2312" w:cs="仿宋_GB2312"/>
          <w:b w:val="0"/>
          <w:bCs w:val="0"/>
          <w:sz w:val="32"/>
          <w:szCs w:val="32"/>
          <w:highlight w:val="none"/>
          <w:lang w:val="zh-CN" w:eastAsia="zh-CN"/>
        </w:rPr>
        <w:t>。</w:t>
      </w:r>
      <w:r>
        <w:rPr>
          <w:rFonts w:hint="eastAsia" w:ascii="仿宋_GB2312" w:hAnsi="仿宋_GB2312" w:eastAsia="仿宋_GB2312" w:cs="仿宋_GB2312"/>
          <w:b w:val="0"/>
          <w:bCs w:val="0"/>
          <w:color w:val="auto"/>
          <w:sz w:val="32"/>
          <w:szCs w:val="32"/>
          <w:lang w:val="en-US" w:eastAsia="zh-CN"/>
        </w:rPr>
        <w:t>严格执行</w:t>
      </w:r>
      <w:r>
        <w:rPr>
          <w:rFonts w:hint="eastAsia" w:ascii="仿宋_GB2312" w:hAnsi="仿宋_GB2312" w:eastAsia="仿宋_GB2312" w:cs="仿宋_GB2312"/>
          <w:b w:val="0"/>
          <w:bCs w:val="0"/>
          <w:sz w:val="32"/>
          <w:szCs w:val="32"/>
          <w:lang w:val="en-US" w:eastAsia="zh-CN"/>
        </w:rPr>
        <w:t>行政执法信息公示制度，加大行政执法信息公开力度，确保全辖行政许可、行政处罚信息</w:t>
      </w:r>
      <w:r>
        <w:rPr>
          <w:rFonts w:hint="eastAsia" w:ascii="仿宋_GB2312" w:hAnsi="仿宋_GB2312" w:eastAsia="仿宋_GB2312" w:cs="仿宋_GB2312"/>
          <w:b w:val="0"/>
          <w:bCs w:val="0"/>
          <w:sz w:val="32"/>
          <w:szCs w:val="32"/>
          <w:highlight w:val="none"/>
          <w:u w:val="none"/>
          <w:lang w:val="en-US" w:eastAsia="zh-CN"/>
        </w:rPr>
        <w:t>及时</w:t>
      </w:r>
      <w:r>
        <w:rPr>
          <w:rFonts w:hint="eastAsia" w:ascii="仿宋_GB2312" w:hAnsi="仿宋_GB2312" w:eastAsia="仿宋_GB2312" w:cs="仿宋_GB2312"/>
          <w:b w:val="0"/>
          <w:bCs w:val="0"/>
          <w:color w:val="auto"/>
          <w:sz w:val="32"/>
          <w:szCs w:val="32"/>
          <w:highlight w:val="none"/>
          <w:u w:val="none"/>
          <w:lang w:val="en-US" w:eastAsia="zh-CN"/>
        </w:rPr>
        <w:t>通过省分行互联网子网站主动公开</w:t>
      </w:r>
      <w:r>
        <w:rPr>
          <w:rFonts w:hint="eastAsia" w:ascii="仿宋_GB2312" w:hAnsi="仿宋_GB2312" w:eastAsia="仿宋_GB2312" w:cs="仿宋_GB2312"/>
          <w:b w:val="0"/>
          <w:bCs w:val="0"/>
          <w:sz w:val="32"/>
          <w:szCs w:val="32"/>
          <w:lang w:val="en-US" w:eastAsia="zh-CN"/>
        </w:rPr>
        <w:t>。严格把关信息公开质量，杜绝失泄密风险</w:t>
      </w:r>
      <w:r>
        <w:rPr>
          <w:rFonts w:hint="eastAsia"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widowControl w:val="0"/>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bookmarkStart w:id="1" w:name="OLE_LINK3"/>
      <w:r>
        <w:rPr>
          <w:rFonts w:hint="eastAsia" w:ascii="楷体_GB2312" w:hAnsi="楷体_GB2312" w:eastAsia="楷体_GB2312" w:cs="楷体_GB2312"/>
          <w:b w:val="0"/>
          <w:bCs w:val="0"/>
          <w:sz w:val="32"/>
          <w:szCs w:val="32"/>
          <w:lang w:val="en-US" w:eastAsia="zh-CN"/>
        </w:rPr>
        <w:t>（二）严格落实相关制度，提升规范化水平。</w:t>
      </w:r>
      <w:r>
        <w:rPr>
          <w:rFonts w:hint="eastAsia" w:ascii="仿宋_GB2312" w:hAnsi="仿宋_GB2312" w:eastAsia="仿宋_GB2312" w:cs="仿宋_GB2312"/>
          <w:b w:val="0"/>
          <w:bCs w:val="0"/>
          <w:sz w:val="32"/>
          <w:szCs w:val="32"/>
          <w:lang w:val="en-US" w:eastAsia="zh-CN"/>
        </w:rPr>
        <w:t>根据</w:t>
      </w:r>
      <w:bookmarkStart w:id="2" w:name="B0001"/>
      <w:r>
        <w:rPr>
          <w:rFonts w:hint="eastAsia" w:ascii="仿宋_GB2312" w:hAnsi="仿宋_GB2312" w:eastAsia="仿宋_GB2312" w:cs="仿宋_GB2312"/>
          <w:b w:val="0"/>
          <w:bCs w:val="0"/>
          <w:sz w:val="32"/>
          <w:szCs w:val="32"/>
          <w:lang w:val="en-US" w:eastAsia="zh-CN"/>
        </w:rPr>
        <w:t>《中国人民银行行政执法信息公示工作规程》（银办发〔2021〕27号）</w:t>
      </w:r>
      <w:bookmarkEnd w:id="2"/>
      <w:r>
        <w:rPr>
          <w:rFonts w:hint="eastAsia" w:ascii="仿宋_GB2312" w:hAnsi="仿宋_GB2312" w:eastAsia="仿宋_GB2312" w:cs="仿宋_GB2312"/>
          <w:b w:val="0"/>
          <w:bCs w:val="0"/>
          <w:color w:val="000000"/>
          <w:sz w:val="32"/>
          <w:lang w:val="en-US" w:eastAsia="zh-CN"/>
        </w:rPr>
        <w:t>等文件规定规范信息公开报送操作流程，确保相关信息报送内容与时效符合规范。</w:t>
      </w:r>
      <w:r>
        <w:rPr>
          <w:rFonts w:hint="eastAsia" w:ascii="仿宋_GB2312" w:hAnsi="仿宋_GB2312" w:eastAsia="仿宋_GB2312" w:cs="仿宋_GB2312"/>
          <w:b w:val="0"/>
          <w:bCs w:val="0"/>
          <w:sz w:val="32"/>
          <w:szCs w:val="32"/>
          <w:lang w:val="en-US" w:eastAsia="zh-CN"/>
        </w:rPr>
        <w:t>及时学习传达全省政务公开工作非现场检查情况通报，对风险隐患进行纠正。</w:t>
      </w:r>
    </w:p>
    <w:p>
      <w:pPr>
        <w:keepNext w:val="0"/>
        <w:keepLines w:val="0"/>
        <w:pageBreakBefore w:val="0"/>
        <w:widowControl w:val="0"/>
        <w:tabs>
          <w:tab w:val="left" w:pos="2100"/>
        </w:tabs>
        <w:kinsoku/>
        <w:wordWrap/>
        <w:overflowPunct/>
        <w:topLinePunct w:val="0"/>
        <w:autoSpaceDE/>
        <w:autoSpaceDN/>
        <w:bidi w:val="0"/>
        <w:adjustRightInd w:val="0"/>
        <w:snapToGrid w:val="0"/>
        <w:spacing w:beforeLines="0" w:afterLines="0" w:line="560" w:lineRule="exact"/>
        <w:ind w:left="0" w:leftChars="0" w:right="0" w:firstLine="640" w:firstLineChars="200"/>
        <w:jc w:val="both"/>
        <w:textAlignment w:val="auto"/>
        <w:outlineLvl w:val="9"/>
        <w:rPr>
          <w:rFonts w:hint="eastAsia" w:ascii="仿宋_GB2312" w:hAnsi="仿宋_GB2312" w:eastAsia="仿宋_GB2312" w:cs="黑体"/>
          <w:b w:val="0"/>
          <w:bCs/>
          <w:i w:val="0"/>
          <w:caps w:val="0"/>
          <w:color w:val="auto"/>
          <w:spacing w:val="0"/>
          <w:sz w:val="32"/>
          <w:szCs w:val="32"/>
          <w:shd w:val="clear" w:color="auto" w:fill="FFFFFF"/>
          <w:lang w:eastAsia="zh-CN"/>
        </w:rPr>
      </w:pPr>
      <w:r>
        <w:rPr>
          <w:rFonts w:hint="eastAsia" w:ascii="楷体" w:hAnsi="楷体" w:eastAsia="楷体" w:cs="楷体"/>
          <w:b w:val="0"/>
          <w:bCs w:val="0"/>
          <w:sz w:val="32"/>
          <w:szCs w:val="32"/>
          <w:lang w:val="en-US" w:eastAsia="zh-CN"/>
        </w:rPr>
        <w:t>（三）推进政务服务监督，不断优化改善政务营商环境。</w:t>
      </w:r>
      <w:r>
        <w:rPr>
          <w:rFonts w:hint="eastAsia" w:ascii="仿宋_GB2312" w:hAnsi="仿宋_GB2312" w:eastAsia="仿宋_GB2312" w:cs="仿宋_GB2312"/>
          <w:b w:val="0"/>
          <w:bCs w:val="0"/>
          <w:sz w:val="32"/>
          <w:szCs w:val="32"/>
          <w:lang w:val="en-US" w:eastAsia="zh-CN"/>
        </w:rPr>
        <w:t>推进政务服务“好差评”工作，根据总行与福建省分行部署，建立本级政务服务“好差评”制度，通过“好差评”接受社会评价。畅通金融消费者维权渠道，2023年受理12363转办投诉101件，均依法妥善办结，满意度较高。全辖金融纠纷诉调机制运行良好。</w:t>
      </w:r>
      <w:bookmarkEnd w:id="0"/>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shd w:val="clear" w:color="auto" w:fill="FFFFFF"/>
        </w:rPr>
      </w:pPr>
      <w:r>
        <w:rPr>
          <w:rFonts w:hint="eastAsia" w:ascii="黑体" w:hAnsi="黑体" w:eastAsia="黑体" w:cs="黑体"/>
          <w:b w:val="0"/>
          <w:bCs/>
          <w:i w:val="0"/>
          <w:caps w:val="0"/>
          <w:color w:val="auto"/>
          <w:spacing w:val="0"/>
          <w:sz w:val="32"/>
          <w:szCs w:val="32"/>
          <w:shd w:val="clear" w:color="auto" w:fill="FFFFFF"/>
        </w:rPr>
        <w:t>二、主动公开政府信息情况</w:t>
      </w:r>
    </w:p>
    <w:tbl>
      <w:tblPr>
        <w:tblStyle w:val="6"/>
        <w:tblpPr w:leftFromText="180" w:rightFromText="180" w:vertAnchor="text" w:horzAnchor="page" w:tblpX="1396" w:tblpY="23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50"/>
        <w:gridCol w:w="2435"/>
        <w:gridCol w:w="2435"/>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w:t>
            </w:r>
            <w:r>
              <w:rPr>
                <w:rFonts w:hint="eastAsia" w:ascii="仿宋_GB2312" w:hAnsi="仿宋_GB2312" w:eastAsia="仿宋_GB2312" w:cs="仿宋_GB2312"/>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本年废止件数</w:t>
            </w:r>
          </w:p>
        </w:tc>
        <w:tc>
          <w:tcPr>
            <w:tcW w:w="196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现行有效件</w:t>
            </w:r>
            <w:r>
              <w:rPr>
                <w:rFonts w:hint="eastAsia" w:ascii="仿宋_GB2312" w:hAnsi="仿宋_GB2312" w:eastAsia="仿宋_GB2312" w:cs="仿宋_GB2312"/>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19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11</w:t>
            </w:r>
          </w:p>
        </w:tc>
        <w:tc>
          <w:tcPr>
            <w:tcW w:w="196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Times New Roman" w:hAnsi="Times New Roman" w:eastAsia="仿宋_GB2312" w:cs="Times New Roman"/>
                <w:sz w:val="21"/>
                <w:lang w:val="en-US" w:eastAsia="zh-CN"/>
              </w:rPr>
            </w:pPr>
            <w:r>
              <w:rPr>
                <w:rFonts w:hint="eastAsia" w:eastAsia="仿宋_GB2312" w:cs="Times New Roman"/>
                <w:sz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83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行政许可</w:t>
            </w:r>
          </w:p>
        </w:tc>
        <w:tc>
          <w:tcPr>
            <w:tcW w:w="6831"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 xml:space="preserve">                     4879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831"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both"/>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                 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行政处罚</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both"/>
              <w:rPr>
                <w:rFonts w:hint="default" w:ascii="Times New Roman" w:hAnsi="Times New Roman" w:eastAsia="仿宋_GB2312" w:cs="Times New Roman"/>
                <w:sz w:val="21"/>
                <w:lang w:val="en-US"/>
              </w:rPr>
            </w:pPr>
            <w:r>
              <w:rPr>
                <w:rFonts w:hint="default" w:ascii="Times New Roman" w:hAnsi="Times New Roman" w:eastAsia="仿宋_GB2312" w:cs="Times New Roman"/>
                <w:color w:val="000000"/>
                <w:kern w:val="0"/>
                <w:sz w:val="21"/>
                <w:szCs w:val="20"/>
                <w:lang w:val="en-US" w:eastAsia="zh-CN" w:bidi="ar"/>
              </w:rPr>
              <w:t>　</w:t>
            </w:r>
            <w:r>
              <w:rPr>
                <w:rFonts w:hint="eastAsia" w:ascii="Times New Roman" w:hAnsi="Times New Roman" w:eastAsia="仿宋_GB2312" w:cs="Times New Roman"/>
                <w:color w:val="000000"/>
                <w:kern w:val="0"/>
                <w:sz w:val="21"/>
                <w:szCs w:val="20"/>
                <w:lang w:val="en-US" w:eastAsia="zh-CN" w:bidi="ar"/>
              </w:rPr>
              <w:t xml:space="preserve">                    </w:t>
            </w:r>
            <w:r>
              <w:rPr>
                <w:rFonts w:hint="eastAsia" w:eastAsia="仿宋_GB2312" w:cs="Times New Roman"/>
                <w:color w:val="000000"/>
                <w:kern w:val="0"/>
                <w:sz w:val="21"/>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行政强制</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both"/>
              <w:rPr>
                <w:rFonts w:hint="default" w:ascii="Times New Roman" w:hAnsi="Times New Roman" w:eastAsia="仿宋_GB2312" w:cs="Times New Roman"/>
                <w:sz w:val="21"/>
                <w:lang w:val="en-US"/>
              </w:rPr>
            </w:pPr>
            <w:r>
              <w:rPr>
                <w:rFonts w:hint="default" w:ascii="Times New Roman" w:hAnsi="Times New Roman" w:eastAsia="仿宋_GB2312" w:cs="Times New Roman"/>
                <w:color w:val="000000"/>
                <w:kern w:val="0"/>
                <w:sz w:val="21"/>
                <w:szCs w:val="20"/>
                <w:lang w:val="en-US" w:eastAsia="zh-CN" w:bidi="ar"/>
              </w:rPr>
              <w:t>　</w:t>
            </w:r>
            <w:r>
              <w:rPr>
                <w:rFonts w:hint="eastAsia" w:ascii="Times New Roman" w:hAnsi="Times New Roman" w:eastAsia="仿宋_GB2312" w:cs="Times New Roman"/>
                <w:color w:val="000000"/>
                <w:kern w:val="0"/>
                <w:sz w:val="21"/>
                <w:szCs w:val="20"/>
                <w:lang w:val="en-US" w:eastAsia="zh-CN" w:bidi="ar"/>
              </w:rPr>
              <w:t xml:space="preserve">                     </w:t>
            </w:r>
            <w:r>
              <w:rPr>
                <w:rFonts w:hint="eastAsia" w:eastAsia="仿宋_GB2312" w:cs="Times New Roman"/>
                <w:color w:val="000000"/>
                <w:kern w:val="0"/>
                <w:sz w:val="21"/>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9381"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信息内容</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 xml:space="preserve">                 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55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firstLine="0" w:firstLineChars="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行政事业性收费</w:t>
            </w:r>
          </w:p>
        </w:tc>
        <w:tc>
          <w:tcPr>
            <w:tcW w:w="6831"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ind w:left="0" w:leftChars="0" w:right="0" w:rightChars="0" w:firstLine="0" w:firstLineChars="0"/>
              <w:jc w:val="left"/>
              <w:rPr>
                <w:rFonts w:hint="default" w:ascii="仿宋_GB2312" w:hAnsi="仿宋_GB2312" w:eastAsia="仿宋_GB2312" w:cs="仿宋_GB2312"/>
                <w:sz w:val="24"/>
                <w:szCs w:val="24"/>
                <w:lang w:val="en-US" w:eastAsia="zh-CN"/>
              </w:rPr>
            </w:pPr>
            <w:r>
              <w:rPr>
                <w:rFonts w:hint="eastAsia" w:ascii="Times New Roman" w:hAnsi="Times New Roman" w:eastAsia="仿宋_GB2312" w:cs="Times New Roman"/>
                <w:color w:val="000000"/>
                <w:kern w:val="0"/>
                <w:sz w:val="21"/>
                <w:szCs w:val="20"/>
                <w:lang w:val="en-US" w:eastAsia="zh-CN" w:bidi="ar"/>
              </w:rPr>
              <w:t xml:space="preserve">                       </w:t>
            </w:r>
            <w:r>
              <w:rPr>
                <w:rFonts w:hint="eastAsia" w:eastAsia="仿宋_GB2312" w:cs="Times New Roman"/>
                <w:color w:val="000000"/>
                <w:kern w:val="0"/>
                <w:sz w:val="21"/>
                <w:szCs w:val="20"/>
                <w:lang w:val="en-US" w:eastAsia="zh-CN" w:bidi="ar"/>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right="0" w:rightChars="0" w:firstLine="640" w:firstLineChars="200"/>
        <w:jc w:val="both"/>
        <w:textAlignment w:val="auto"/>
        <w:outlineLvl w:val="9"/>
        <w:rPr>
          <w:rFonts w:hint="eastAsia" w:ascii="宋体" w:hAnsi="宋体" w:eastAsia="宋体" w:cs="宋体"/>
          <w:i w:val="0"/>
          <w:caps w:val="0"/>
          <w:color w:val="333333"/>
          <w:spacing w:val="0"/>
          <w:sz w:val="24"/>
          <w:szCs w:val="24"/>
        </w:rPr>
      </w:pPr>
      <w:r>
        <w:rPr>
          <w:rFonts w:hint="eastAsia" w:ascii="黑体" w:hAnsi="黑体" w:eastAsia="黑体" w:cs="黑体"/>
          <w:b w:val="0"/>
          <w:bCs/>
          <w:i w:val="0"/>
          <w:caps w:val="0"/>
          <w:color w:val="333333"/>
          <w:spacing w:val="0"/>
          <w:sz w:val="32"/>
          <w:szCs w:val="32"/>
          <w:shd w:val="clear" w:color="auto" w:fill="FFFFFF"/>
        </w:rPr>
        <w:t>三、收到和处理政府信息公开申请情况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257"/>
        <w:gridCol w:w="943"/>
        <w:gridCol w:w="3220"/>
        <w:gridCol w:w="688"/>
        <w:gridCol w:w="688"/>
        <w:gridCol w:w="688"/>
        <w:gridCol w:w="688"/>
        <w:gridCol w:w="688"/>
        <w:gridCol w:w="688"/>
        <w:gridCol w:w="9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（本列数据的勾稽关系为：第一项加第二项之和，等于第三项加第四项之和）</w:t>
            </w:r>
          </w:p>
        </w:tc>
        <w:tc>
          <w:tcPr>
            <w:tcW w:w="502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法人或其他组织</w:t>
            </w:r>
          </w:p>
        </w:tc>
        <w:tc>
          <w:tcPr>
            <w:tcW w:w="901"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其他</w:t>
            </w:r>
          </w:p>
        </w:tc>
        <w:tc>
          <w:tcPr>
            <w:tcW w:w="901"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442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4420"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二、上年结转政府信息公开申请数量</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257"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三、本年度办理结果</w:t>
            </w:r>
          </w:p>
        </w:tc>
        <w:tc>
          <w:tcPr>
            <w:tcW w:w="4163"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（一）予以公开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4"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4163"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（二）部分公开（区分处理的，只计这一情形，不计其他情形）</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（三）不予公开</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1.属于国家秘密</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2.其他法律行政法规禁止公开</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3.危及“三安全一稳定”</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4.保护第三方合法权益</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5.属于三类内部事务信息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6.属于四类过程性信息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7.属于行政执法案卷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8.属于行政查询事项</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（四）无法提供</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1.本机关不掌握相关政府信息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2.没有现成信息需要另行制作</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2"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3.补正后申请内容仍不明确</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（五）不予处理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1.信访举报投诉类申请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2.重复申请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3.要求提供公开出版物</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4.无正当理由大量反复申请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5.要求行政机关确认或重新出具已获取信息</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right="0" w:rightChars="0"/>
              <w:jc w:val="center"/>
              <w:rPr>
                <w:rFonts w:hint="default" w:ascii="Times New Roman" w:hAnsi="Times New Roman" w:eastAsia="仿宋_GB2312" w:cs="Times New Roman"/>
                <w:sz w:val="21"/>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6"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（六）其他处理</w:t>
            </w: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1.申请人无正当理由逾期不补正、行政机关不再处理其政府信息公开申请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both"/>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2.申请人逾期未按收费通知要求缴纳费用、行政机关不再处理其政府信息公开申请</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single" w:color="auto" w:sz="8" w:space="0"/>
              <w:left w:val="single" w:color="auto" w:sz="8" w:space="0"/>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943"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32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3.其他</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25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仿宋_GB2312" w:hAnsi="仿宋_GB2312" w:eastAsia="仿宋_GB2312" w:cs="仿宋_GB2312"/>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442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center"/>
              <w:rPr>
                <w:rFonts w:hint="default" w:ascii="Times New Roman" w:hAnsi="Times New Roman" w:eastAsia="仿宋_GB2312" w:cs="Times New Roman"/>
                <w:sz w:val="21"/>
                <w:lang w:val="en-US" w:eastAsia="zh-CN"/>
              </w:rPr>
            </w:pPr>
            <w:r>
              <w:rPr>
                <w:rFonts w:hint="eastAsia" w:eastAsia="仿宋_GB2312" w:cs="Times New Roman"/>
                <w:sz w:val="21"/>
                <w:lang w:val="en-US" w:eastAsia="zh-CN"/>
              </w:rPr>
              <w:t>0</w:t>
            </w:r>
          </w:p>
        </w:tc>
        <w:tc>
          <w:tcPr>
            <w:tcW w:w="901"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仿宋_GB2312" w:cs="Times New Roman"/>
                <w:sz w:val="21"/>
                <w:szCs w:val="24"/>
                <w:lang w:val="en-US" w:eastAsia="zh-CN"/>
              </w:rPr>
            </w:pPr>
            <w:r>
              <w:rPr>
                <w:rFonts w:hint="eastAsia" w:eastAsia="仿宋_GB2312" w:cs="Times New Roman"/>
                <w:sz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right="0" w:firstLine="0"/>
        <w:jc w:val="left"/>
        <w:rPr>
          <w:rFonts w:hint="eastAsia" w:ascii="仿宋_GB2312" w:hAnsi="仿宋_GB2312" w:eastAsia="仿宋_GB2312" w:cs="宋体"/>
          <w:b/>
          <w:bCs/>
          <w:i w:val="0"/>
          <w:caps w:val="0"/>
          <w:color w:val="333333"/>
          <w:spacing w:val="0"/>
          <w:sz w:val="21"/>
          <w:szCs w:val="24"/>
          <w:lang w:val="en-US" w:eastAsia="zh-CN"/>
        </w:rPr>
      </w:pPr>
      <w:r>
        <w:rPr>
          <w:rFonts w:hint="eastAsia" w:ascii="仿宋_GB2312" w:hAnsi="仿宋_GB2312" w:eastAsia="仿宋_GB2312" w:cs="宋体"/>
          <w:i w:val="0"/>
          <w:caps w:val="0"/>
          <w:color w:val="333333"/>
          <w:spacing w:val="0"/>
          <w:sz w:val="21"/>
          <w:szCs w:val="24"/>
          <w:lang w:val="en-US" w:eastAsia="zh-CN"/>
        </w:rPr>
        <w:t xml:space="preserve">   </w:t>
      </w:r>
      <w:r>
        <w:rPr>
          <w:rFonts w:hint="eastAsia" w:ascii="仿宋_GB2312" w:hAnsi="仿宋_GB2312" w:eastAsia="仿宋_GB2312" w:cs="宋体"/>
          <w:b/>
          <w:bCs/>
          <w:i w:val="0"/>
          <w:caps w:val="0"/>
          <w:color w:val="333333"/>
          <w:spacing w:val="0"/>
          <w:sz w:val="21"/>
          <w:szCs w:val="24"/>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ind w:left="0" w:right="0" w:firstLine="640" w:firstLineChars="200"/>
        <w:jc w:val="left"/>
        <w:textAlignment w:val="auto"/>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其他</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仿宋_GB2312" w:hAnsi="仿宋_GB2312" w:eastAsia="仿宋_GB2312" w:cs="仿宋_GB2312"/>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其他</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结果</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其他</w:t>
            </w:r>
            <w:r>
              <w:rPr>
                <w:rFonts w:hint="eastAsia" w:ascii="仿宋_GB2312" w:hAnsi="仿宋_GB2312" w:eastAsia="仿宋_GB2312" w:cs="仿宋_GB2312"/>
                <w:color w:val="000000"/>
                <w:kern w:val="0"/>
                <w:sz w:val="20"/>
                <w:szCs w:val="20"/>
                <w:lang w:val="en-US" w:eastAsia="zh-CN" w:bidi="ar"/>
              </w:rPr>
              <w:br w:type="textWrapping"/>
            </w:r>
            <w:r>
              <w:rPr>
                <w:rFonts w:hint="eastAsia" w:ascii="仿宋_GB2312" w:hAnsi="仿宋_GB2312" w:eastAsia="仿宋_GB2312" w:cs="仿宋_GB2312"/>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kern w:val="0"/>
                <w:sz w:val="20"/>
                <w:szCs w:val="20"/>
                <w:lang w:val="en-US" w:eastAsia="zh-CN" w:bidi="ar"/>
              </w:rPr>
              <w:t>尚未</w:t>
            </w:r>
            <w:r>
              <w:rPr>
                <w:rFonts w:hint="eastAsia" w:ascii="仿宋_GB2312" w:hAnsi="仿宋_GB2312" w:eastAsia="仿宋_GB2312" w:cs="仿宋_GB2312"/>
                <w:kern w:val="0"/>
                <w:sz w:val="20"/>
                <w:szCs w:val="20"/>
                <w:lang w:val="en-US" w:eastAsia="zh-CN" w:bidi="ar"/>
              </w:rPr>
              <w:br w:type="textWrapping"/>
            </w:r>
            <w:r>
              <w:rPr>
                <w:rFonts w:hint="eastAsia" w:ascii="仿宋_GB2312" w:hAnsi="仿宋_GB2312" w:eastAsia="仿宋_GB2312" w:cs="仿宋_GB2312"/>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firstLine="0"/>
              <w:jc w:val="center"/>
              <w:rPr>
                <w:rFonts w:hint="eastAsia" w:ascii="仿宋_GB2312" w:hAnsi="仿宋_GB2312" w:eastAsia="仿宋_GB2312" w:cs="仿宋_GB2312"/>
              </w:rPr>
            </w:pPr>
            <w:r>
              <w:rPr>
                <w:rFonts w:hint="eastAsia" w:ascii="仿宋_GB2312" w:hAnsi="仿宋_GB2312" w:eastAsia="仿宋_GB2312" w:cs="仿宋_GB2312"/>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lang w:val="en-US" w:eastAsia="zh-CN"/>
              </w:rPr>
            </w:pPr>
            <w:r>
              <w:rPr>
                <w:rFonts w:hint="eastAsia" w:eastAsia="仿宋_GB2312" w:cs="Times New Roman"/>
                <w:color w:val="auto"/>
                <w:sz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lang w:val="en-US" w:eastAsia="zh-CN"/>
              </w:rPr>
            </w:pPr>
            <w:r>
              <w:rPr>
                <w:rFonts w:hint="eastAsia" w:eastAsia="仿宋_GB2312" w:cs="Times New Roman"/>
                <w:color w:val="auto"/>
                <w:sz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rPr>
            </w:pPr>
            <w:r>
              <w:rPr>
                <w:rFonts w:hint="eastAsia" w:eastAsia="仿宋_GB2312" w:cs="Times New Roman"/>
                <w:sz w:val="21"/>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adjustRightInd w:val="0"/>
              <w:snapToGrid w:val="0"/>
              <w:spacing w:line="420" w:lineRule="exact"/>
              <w:jc w:val="center"/>
              <w:rPr>
                <w:rFonts w:hint="default" w:ascii="Times New Roman" w:hAnsi="Times New Roman" w:eastAsia="仿宋_GB2312" w:cs="Times New Roman"/>
                <w:color w:val="auto"/>
                <w:sz w:val="21"/>
                <w:szCs w:val="24"/>
              </w:rPr>
            </w:pPr>
            <w:r>
              <w:rPr>
                <w:rFonts w:hint="eastAsia" w:eastAsia="仿宋_GB2312" w:cs="Times New Roman"/>
                <w:sz w:val="21"/>
                <w:lang w:val="en-US" w:eastAsia="zh-CN"/>
              </w:rPr>
              <w:t>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333333"/>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333333"/>
          <w:spacing w:val="0"/>
          <w:sz w:val="32"/>
          <w:szCs w:val="32"/>
          <w:shd w:val="clear" w:color="auto" w:fill="FFFFFF"/>
        </w:rPr>
      </w:pPr>
      <w:r>
        <w:rPr>
          <w:rFonts w:hint="eastAsia" w:ascii="仿宋_GB2312" w:hAnsi="仿宋_GB2312" w:eastAsia="仿宋_GB2312" w:cs="黑体"/>
          <w:b w:val="0"/>
          <w:bCs/>
          <w:i w:val="0"/>
          <w:caps w:val="0"/>
          <w:color w:val="333333"/>
          <w:spacing w:val="0"/>
          <w:sz w:val="32"/>
          <w:szCs w:val="32"/>
          <w:shd w:val="clear" w:color="auto" w:fill="FFFFFF"/>
          <w:lang w:val="en-US" w:eastAsia="zh-CN"/>
        </w:rPr>
        <w:t>当前，漳州市分行政府信息公开工作存在个别业务的政务服务指南内容不够通俗易懂的问题，针对此问题，漳州市分行将积极组织有关业务部门研究讨论，结合辖区实际适时更新有关服务指南，确保其发挥有效指引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pPr>
      <w:r>
        <w:rPr>
          <w:rFonts w:hint="eastAsia" w:ascii="黑体" w:hAnsi="黑体" w:eastAsia="黑体" w:cs="黑体"/>
          <w:b w:val="0"/>
          <w:bCs/>
          <w:i w:val="0"/>
          <w:caps w:val="0"/>
          <w:color w:val="333333"/>
          <w:spacing w:val="0"/>
          <w:sz w:val="32"/>
          <w:szCs w:val="32"/>
          <w:shd w:val="clear" w:color="auto" w:fill="FFFFFF"/>
        </w:rPr>
        <w:t>六、其他需要报告的事项</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r>
        <w:rPr>
          <w:rFonts w:hint="eastAsia"/>
          <w:lang w:val="en-US" w:eastAsia="zh-CN"/>
        </w:rPr>
        <w:t xml:space="preserve">   </w:t>
      </w:r>
      <w:bookmarkStart w:id="3" w:name="_GoBack"/>
      <w:bookmarkEnd w:id="3"/>
      <w:r>
        <w:rPr>
          <w:rFonts w:hint="eastAsia" w:ascii="仿宋_GB2312" w:hAnsi="仿宋_GB2312" w:eastAsia="仿宋_GB2312"/>
          <w:sz w:val="32"/>
          <w:lang w:val="en-US" w:eastAsia="zh-CN"/>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鼎简中黑">
    <w:altName w:val="黑体"/>
    <w:panose1 w:val="02010609010101010101"/>
    <w:charset w:val="86"/>
    <w:family w:val="auto"/>
    <w:pitch w:val="default"/>
    <w:sig w:usb0="00000000" w:usb1="00000000" w:usb2="00000000"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C0E5E"/>
    <w:rsid w:val="011041EB"/>
    <w:rsid w:val="038338D1"/>
    <w:rsid w:val="045379DA"/>
    <w:rsid w:val="0B4B1ADD"/>
    <w:rsid w:val="1BAF133C"/>
    <w:rsid w:val="1E8052F7"/>
    <w:rsid w:val="2461579F"/>
    <w:rsid w:val="26C01A21"/>
    <w:rsid w:val="2A7C0E5E"/>
    <w:rsid w:val="2C6F63F4"/>
    <w:rsid w:val="36D658F6"/>
    <w:rsid w:val="47263C71"/>
    <w:rsid w:val="4FE64AA3"/>
    <w:rsid w:val="65CB5E18"/>
    <w:rsid w:val="6B7C3B58"/>
    <w:rsid w:val="6CD852C8"/>
    <w:rsid w:val="6F992E66"/>
    <w:rsid w:val="74FB18F9"/>
    <w:rsid w:val="7D130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2"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2"/>
    <w:pPr>
      <w:autoSpaceDE w:val="0"/>
      <w:autoSpaceDN w:val="0"/>
      <w:adjustRightInd w:val="0"/>
      <w:snapToGrid w:val="0"/>
      <w:spacing w:before="200" w:beforeLines="0" w:after="120" w:afterLines="0" w:line="360" w:lineRule="auto"/>
      <w:ind w:firstLine="480" w:firstLineChars="200"/>
      <w:outlineLvl w:val="2"/>
    </w:pPr>
    <w:rPr>
      <w:rFonts w:ascii="Arial" w:hAnsi="Arial" w:eastAsia="汉鼎简中黑" w:cs="Arial"/>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2024-02-29T03:34:00Z</dcterms:created>
  <dc:creator>张文妍</dc:creator>
  <cp:lastModifiedBy>薛梦芳</cp:lastModifiedBy>
  <dcterms:modified xsi:type="dcterms:W3CDTF">2024-03-05T08:09:58Z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819997F5D8FB4404A303898F2E9B32F0</vt:lpwstr>
  </property>
</Properties>
</file>