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sz w:val="32"/>
          <w:szCs w:val="32"/>
        </w:rPr>
      </w:pPr>
      <w:r>
        <w:rPr>
          <w:rFonts w:hint="eastAsia" w:ascii="黑体" w:hAnsi="黑体" w:eastAsia="黑体" w:cs="黑体"/>
          <w:sz w:val="32"/>
          <w:szCs w:val="32"/>
        </w:rPr>
        <w:t>附件</w:t>
      </w:r>
    </w:p>
    <w:p>
      <w:pPr>
        <w:spacing w:line="520" w:lineRule="exact"/>
        <w:rPr>
          <w:rFonts w:ascii="宋体" w:hAnsi="宋体"/>
          <w:sz w:val="30"/>
          <w:szCs w:val="30"/>
        </w:rPr>
      </w:pPr>
    </w:p>
    <w:p>
      <w:pPr>
        <w:keepNext w:val="0"/>
        <w:keepLines w:val="0"/>
        <w:pageBreakBefore w:val="0"/>
        <w:kinsoku/>
        <w:wordWrap/>
        <w:overflowPunct/>
        <w:topLinePunct w:val="0"/>
        <w:bidi w:val="0"/>
        <w:adjustRightInd w:val="0"/>
        <w:snapToGrid w:val="0"/>
        <w:spacing w:line="560" w:lineRule="exact"/>
        <w:jc w:val="center"/>
        <w:textAlignment w:val="auto"/>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福建省新设金融机构开业相关事项办理指引</w:t>
      </w:r>
    </w:p>
    <w:p>
      <w:pPr>
        <w:keepNext w:val="0"/>
        <w:keepLines w:val="0"/>
        <w:pageBreakBefore w:val="0"/>
        <w:kinsoku/>
        <w:wordWrap/>
        <w:overflowPunct/>
        <w:topLinePunct w:val="0"/>
        <w:bidi w:val="0"/>
        <w:adjustRightInd w:val="0"/>
        <w:snapToGrid w:val="0"/>
        <w:spacing w:line="560" w:lineRule="exact"/>
        <w:jc w:val="center"/>
        <w:textAlignment w:val="auto"/>
        <w:rPr>
          <w:rFonts w:ascii="仿宋_GB2312" w:hAnsi="仿宋_GB2312" w:eastAsia="仿宋_GB2312"/>
          <w:color w:val="000000"/>
          <w:kern w:val="0"/>
          <w:sz w:val="32"/>
          <w:szCs w:val="24"/>
        </w:rPr>
      </w:pPr>
    </w:p>
    <w:p>
      <w:pPr>
        <w:keepNext w:val="0"/>
        <w:keepLines w:val="0"/>
        <w:pageBreakBefore w:val="0"/>
        <w:kinsoku/>
        <w:wordWrap/>
        <w:overflowPunct/>
        <w:topLinePunct w:val="0"/>
        <w:bidi w:val="0"/>
        <w:adjustRightInd w:val="0"/>
        <w:snapToGrid w:val="0"/>
        <w:spacing w:line="560" w:lineRule="exact"/>
        <w:jc w:val="center"/>
        <w:textAlignment w:val="auto"/>
        <w:rPr>
          <w:rFonts w:hint="eastAsia" w:ascii="黑体" w:hAnsi="黑体" w:eastAsia="黑体"/>
          <w:color w:val="000000"/>
          <w:kern w:val="0"/>
          <w:sz w:val="32"/>
          <w:szCs w:val="24"/>
        </w:rPr>
      </w:pPr>
      <w:r>
        <w:rPr>
          <w:rFonts w:hint="eastAsia" w:ascii="黑体" w:hAnsi="黑体" w:eastAsia="黑体"/>
          <w:color w:val="000000"/>
          <w:kern w:val="0"/>
          <w:sz w:val="32"/>
          <w:szCs w:val="24"/>
        </w:rPr>
        <w:t>第一章 总则</w:t>
      </w:r>
    </w:p>
    <w:p>
      <w:pPr>
        <w:keepNext w:val="0"/>
        <w:keepLines w:val="0"/>
        <w:pageBreakBefore w:val="0"/>
        <w:kinsoku/>
        <w:wordWrap/>
        <w:overflowPunct/>
        <w:topLinePunct w:val="0"/>
        <w:bidi w:val="0"/>
        <w:adjustRightInd w:val="0"/>
        <w:snapToGrid w:val="0"/>
        <w:spacing w:line="560" w:lineRule="exact"/>
        <w:jc w:val="center"/>
        <w:textAlignment w:val="auto"/>
        <w:rPr>
          <w:rFonts w:hint="eastAsia" w:ascii="黑体" w:hAnsi="黑体" w:eastAsia="黑体"/>
          <w:color w:val="000000"/>
          <w:kern w:val="0"/>
          <w:sz w:val="32"/>
          <w:szCs w:val="24"/>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ascii="仿宋_GB2312" w:hAnsi="仿宋_GB2312" w:eastAsia="仿宋_GB2312"/>
          <w:color w:val="000000"/>
          <w:kern w:val="0"/>
          <w:sz w:val="32"/>
          <w:szCs w:val="24"/>
        </w:rPr>
      </w:pPr>
      <w:r>
        <w:rPr>
          <w:rFonts w:hint="eastAsia" w:ascii="仿宋_GB2312" w:hAnsi="仿宋_GB2312" w:eastAsia="仿宋_GB2312"/>
          <w:b/>
          <w:bCs/>
          <w:color w:val="000000"/>
          <w:kern w:val="0"/>
          <w:sz w:val="32"/>
        </w:rPr>
        <w:t>第一条</w:t>
      </w:r>
      <w:r>
        <w:rPr>
          <w:rFonts w:hint="eastAsia" w:ascii="仿宋_GB2312" w:hAnsi="仿宋_GB2312" w:eastAsia="仿宋_GB2312"/>
          <w:color w:val="000000"/>
          <w:kern w:val="0"/>
          <w:sz w:val="32"/>
        </w:rPr>
        <w:t xml:space="preserve"> </w:t>
      </w:r>
      <w:r>
        <w:rPr>
          <w:rFonts w:hint="eastAsia" w:ascii="仿宋_GB2312" w:hAnsi="仿宋_GB2312" w:eastAsia="仿宋_GB2312" w:cs="Times New Roman"/>
          <w:color w:val="000000"/>
          <w:kern w:val="0"/>
          <w:sz w:val="32"/>
          <w:szCs w:val="20"/>
          <w:lang w:val="en-US" w:eastAsia="zh-CN" w:bidi="ar"/>
        </w:rPr>
        <w:t>为进一步统一规范人民银行分支机构办理金融机构开业相关事项的行为和标准，</w:t>
      </w:r>
      <w:r>
        <w:rPr>
          <w:rFonts w:hint="eastAsia" w:ascii="仿宋_GB2312" w:hAnsi="仿宋_GB2312" w:eastAsia="仿宋_GB2312"/>
          <w:color w:val="000000"/>
          <w:kern w:val="0"/>
          <w:sz w:val="32"/>
        </w:rPr>
        <w:t>根据《中华人民共和国中国人民银行法》《中华人民共和国商业银行法》《中华人民共和国外汇管理条例》等法律法规及中国人民银行、国家外汇管理局相关制度规定，结合福建省实际，制定本指引。</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b/>
          <w:bCs/>
          <w:color w:val="000000"/>
          <w:kern w:val="0"/>
          <w:sz w:val="32"/>
        </w:rPr>
        <w:t>第二条</w:t>
      </w:r>
      <w:r>
        <w:rPr>
          <w:rFonts w:hint="eastAsia" w:ascii="仿宋_GB2312" w:hAnsi="仿宋_GB2312" w:eastAsia="仿宋_GB2312"/>
          <w:color w:val="000000"/>
          <w:kern w:val="0"/>
          <w:sz w:val="32"/>
        </w:rPr>
        <w:t xml:space="preserve"> 本指引适用在福建省内新设立的银行业、证券期货业、保险业法人金融机构及其专营机构和分支机构。</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本指引主要规范金融机构开业相关事项的工作机制和流程，不涉及相关业务管理权限和相关政策调整。</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lang w:eastAsia="zh-CN"/>
        </w:rPr>
        <w:t>中国人民银行福建省分行及各市分行</w:t>
      </w:r>
      <w:r>
        <w:rPr>
          <w:rFonts w:hint="eastAsia" w:ascii="仿宋_GB2312" w:hAnsi="仿宋_GB2312" w:eastAsia="仿宋_GB2312"/>
          <w:color w:val="000000"/>
          <w:kern w:val="0"/>
          <w:sz w:val="32"/>
        </w:rPr>
        <w:t>负责实施的行政许可事项不适用本指引。</w:t>
      </w:r>
    </w:p>
    <w:p>
      <w:pPr>
        <w:keepNext w:val="0"/>
        <w:keepLines w:val="0"/>
        <w:pageBreakBefore w:val="0"/>
        <w:numPr>
          <w:ilvl w:val="0"/>
          <w:numId w:val="1"/>
        </w:numPr>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本指引所称开业相关事项是指</w:t>
      </w:r>
      <w:r>
        <w:rPr>
          <w:rFonts w:hint="eastAsia" w:ascii="仿宋_GB2312" w:hAnsi="仿宋_GB2312" w:eastAsia="仿宋_GB2312"/>
          <w:color w:val="000000"/>
          <w:kern w:val="0"/>
          <w:sz w:val="32"/>
          <w:lang w:eastAsia="zh-CN"/>
        </w:rPr>
        <w:t>中国人民银行福建省分行及各市分行</w:t>
      </w:r>
      <w:r>
        <w:rPr>
          <w:rFonts w:hint="eastAsia" w:ascii="仿宋_GB2312" w:hAnsi="仿宋_GB2312" w:eastAsia="仿宋_GB2312"/>
          <w:color w:val="000000"/>
          <w:kern w:val="0"/>
          <w:sz w:val="32"/>
        </w:rPr>
        <w:t>依据金融法律法规等规定，履行法定金融监管职责，向省内新设金融机构提供相关金融服务的行为。</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开业相关事项包括运营管理类事项、其他服务类事项和外汇管理类事项。运营管理类事项包括金融统计、支付结算、金融科技、人民币管理、国库、征信管理、反洗钱。其他服务类事项包括综合管理、货币信贷、金融市场、跨境人民币、金融稳定、会计。</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lang w:eastAsia="zh-CN"/>
        </w:rPr>
        <w:t>中国人民银行福建省</w:t>
      </w:r>
      <w:r>
        <w:rPr>
          <w:rFonts w:hint="eastAsia" w:ascii="仿宋_GB2312" w:hAnsi="仿宋_GB2312" w:eastAsia="仿宋_GB2312"/>
          <w:b w:val="0"/>
          <w:bCs w:val="0"/>
          <w:color w:val="000000"/>
          <w:kern w:val="0"/>
          <w:sz w:val="32"/>
          <w:lang w:eastAsia="zh-CN"/>
        </w:rPr>
        <w:t>内</w:t>
      </w:r>
      <w:r>
        <w:rPr>
          <w:rFonts w:hint="eastAsia" w:ascii="仿宋_GB2312" w:hAnsi="仿宋_GB2312" w:eastAsia="仿宋_GB2312"/>
          <w:color w:val="000000"/>
          <w:kern w:val="0"/>
          <w:sz w:val="32"/>
          <w:lang w:eastAsia="zh-CN"/>
        </w:rPr>
        <w:t>各市分行</w:t>
      </w:r>
      <w:r>
        <w:rPr>
          <w:rFonts w:hint="eastAsia" w:ascii="仿宋_GB2312" w:hAnsi="仿宋_GB2312" w:eastAsia="仿宋_GB2312"/>
          <w:color w:val="000000"/>
          <w:kern w:val="0"/>
          <w:sz w:val="32"/>
        </w:rPr>
        <w:t>不得自行确定和调整运营管理类事项</w:t>
      </w:r>
      <w:r>
        <w:rPr>
          <w:rFonts w:hint="eastAsia" w:ascii="仿宋_GB2312" w:hAnsi="仿宋_GB2312" w:eastAsia="仿宋_GB2312" w:cs="仿宋_GB2312"/>
          <w:sz w:val="32"/>
          <w:szCs w:val="28"/>
        </w:rPr>
        <w:t>，不得以开业事项办理名义对其他服务类事项实施审核。</w:t>
      </w:r>
    </w:p>
    <w:p>
      <w:pPr>
        <w:keepNext w:val="0"/>
        <w:keepLines w:val="0"/>
        <w:pageBreakBefore w:val="0"/>
        <w:numPr>
          <w:ilvl w:val="0"/>
          <w:numId w:val="1"/>
        </w:numPr>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lang w:eastAsia="zh-CN"/>
        </w:rPr>
        <w:t>中国人民银行福建省内各市分行</w:t>
      </w:r>
      <w:r>
        <w:rPr>
          <w:rFonts w:hint="eastAsia" w:ascii="仿宋_GB2312" w:hAnsi="仿宋_GB2312" w:eastAsia="仿宋_GB2312"/>
          <w:color w:val="000000"/>
          <w:kern w:val="0"/>
          <w:sz w:val="32"/>
        </w:rPr>
        <w:t>应遵循依法合规、公开透明、优质高效、安全规范、协调合作的原则，</w:t>
      </w:r>
      <w:r>
        <w:rPr>
          <w:rFonts w:hint="eastAsia" w:ascii="仿宋_GB2312" w:eastAsia="仿宋_GB2312"/>
          <w:sz w:val="32"/>
          <w:szCs w:val="32"/>
        </w:rPr>
        <w:t>寓管理于服务，为金融机构办理开业相关事项</w:t>
      </w:r>
      <w:r>
        <w:rPr>
          <w:rFonts w:hint="eastAsia" w:ascii="仿宋_GB2312" w:hAnsi="仿宋_GB2312" w:eastAsia="仿宋_GB2312"/>
          <w:color w:val="000000"/>
          <w:kern w:val="0"/>
          <w:sz w:val="32"/>
        </w:rPr>
        <w:t>。</w:t>
      </w:r>
    </w:p>
    <w:p>
      <w:pPr>
        <w:keepNext w:val="0"/>
        <w:keepLines w:val="0"/>
        <w:pageBreakBefore w:val="0"/>
        <w:numPr>
          <w:ilvl w:val="0"/>
          <w:numId w:val="1"/>
        </w:numPr>
        <w:kinsoku/>
        <w:wordWrap/>
        <w:overflowPunct/>
        <w:topLinePunct w:val="0"/>
        <w:autoSpaceDE w:val="0"/>
        <w:autoSpaceDN w:val="0"/>
        <w:bidi w:val="0"/>
        <w:adjustRightInd w:val="0"/>
        <w:snapToGrid w:val="0"/>
        <w:spacing w:line="560" w:lineRule="exact"/>
        <w:ind w:firstLine="640" w:firstLineChars="0"/>
        <w:textAlignment w:val="auto"/>
        <w:rPr>
          <w:rFonts w:ascii="仿宋_GB2312" w:hAnsi="仿宋_GB2312" w:eastAsia="仿宋_GB2312"/>
          <w:color w:val="000000"/>
          <w:kern w:val="0"/>
          <w:sz w:val="32"/>
          <w:szCs w:val="32"/>
          <w:highlight w:val="none"/>
        </w:rPr>
      </w:pPr>
      <w:r>
        <w:rPr>
          <w:rFonts w:hint="eastAsia" w:ascii="仿宋_GB2312" w:hAnsi="仿宋_GB2312" w:eastAsia="仿宋_GB2312"/>
          <w:color w:val="000000"/>
          <w:kern w:val="0"/>
          <w:sz w:val="32"/>
          <w:lang w:eastAsia="zh-CN"/>
        </w:rPr>
        <w:t>中国人民银行福建省</w:t>
      </w:r>
      <w:r>
        <w:rPr>
          <w:rFonts w:hint="eastAsia" w:ascii="仿宋_GB2312" w:hAnsi="仿宋_GB2312" w:eastAsia="仿宋_GB2312"/>
          <w:b w:val="0"/>
          <w:bCs w:val="0"/>
          <w:color w:val="000000"/>
          <w:kern w:val="0"/>
          <w:sz w:val="32"/>
          <w:lang w:eastAsia="zh-CN"/>
        </w:rPr>
        <w:t>内</w:t>
      </w:r>
      <w:r>
        <w:rPr>
          <w:rFonts w:hint="eastAsia" w:ascii="仿宋_GB2312" w:hAnsi="仿宋_GB2312" w:eastAsia="仿宋_GB2312"/>
          <w:color w:val="000000"/>
          <w:kern w:val="0"/>
          <w:sz w:val="32"/>
          <w:lang w:eastAsia="zh-CN"/>
        </w:rPr>
        <w:t>各市分行</w:t>
      </w:r>
      <w:r>
        <w:rPr>
          <w:rFonts w:hint="eastAsia" w:ascii="仿宋_GB2312" w:hAnsi="仿宋_GB2312" w:eastAsia="仿宋_GB2312"/>
          <w:color w:val="000000"/>
          <w:kern w:val="0"/>
          <w:sz w:val="32"/>
        </w:rPr>
        <w:t>应</w:t>
      </w:r>
      <w:r>
        <w:rPr>
          <w:rFonts w:hint="eastAsia" w:ascii="仿宋_GB2312" w:hAnsi="仿宋_GB2312" w:eastAsia="仿宋_GB2312" w:cs="仿宋_GB2312"/>
          <w:sz w:val="32"/>
          <w:szCs w:val="28"/>
        </w:rPr>
        <w:t>对金融机构开业相关事项实行清单式管理，明确事项内容、办理依据、办理要求、承办部门、咨询方式和适用机构类型等，</w:t>
      </w:r>
      <w:r>
        <w:rPr>
          <w:rFonts w:hint="eastAsia" w:ascii="仿宋_GB2312" w:hAnsi="仿宋_GB2312" w:eastAsia="仿宋_GB2312" w:cs="仿宋_GB2312"/>
          <w:sz w:val="32"/>
          <w:szCs w:val="28"/>
          <w:highlight w:val="none"/>
        </w:rPr>
        <w:t>以政务公开方式对外公布。</w:t>
      </w:r>
      <w:r>
        <w:rPr>
          <w:rFonts w:hint="eastAsia" w:ascii="仿宋_GB2312" w:hAnsi="仿宋_GB2312" w:eastAsia="仿宋_GB2312"/>
          <w:color w:val="000000"/>
          <w:kern w:val="0"/>
          <w:sz w:val="32"/>
          <w:highlight w:val="none"/>
          <w:lang w:eastAsia="zh-CN"/>
        </w:rPr>
        <w:t>中国人民银行福建省</w:t>
      </w:r>
      <w:r>
        <w:rPr>
          <w:rFonts w:hint="eastAsia" w:ascii="仿宋_GB2312" w:hAnsi="仿宋_GB2312" w:eastAsia="仿宋_GB2312"/>
          <w:b w:val="0"/>
          <w:bCs w:val="0"/>
          <w:color w:val="000000"/>
          <w:kern w:val="0"/>
          <w:sz w:val="32"/>
          <w:highlight w:val="none"/>
          <w:lang w:eastAsia="zh-CN"/>
        </w:rPr>
        <w:t>内</w:t>
      </w:r>
      <w:r>
        <w:rPr>
          <w:rFonts w:hint="eastAsia" w:ascii="仿宋_GB2312" w:hAnsi="仿宋_GB2312" w:eastAsia="仿宋_GB2312"/>
          <w:color w:val="000000"/>
          <w:kern w:val="0"/>
          <w:sz w:val="32"/>
          <w:highlight w:val="none"/>
          <w:lang w:eastAsia="zh-CN"/>
        </w:rPr>
        <w:t>各市分行</w:t>
      </w:r>
      <w:r>
        <w:rPr>
          <w:rFonts w:hint="eastAsia" w:ascii="仿宋_GB2312" w:hAnsi="仿宋_GB2312" w:eastAsia="仿宋_GB2312" w:cs="仿宋_GB2312"/>
          <w:sz w:val="32"/>
          <w:szCs w:val="28"/>
          <w:highlight w:val="none"/>
        </w:rPr>
        <w:t>在参照《福建省新设金融机构开业相关事项办理指南</w:t>
      </w:r>
      <w:r>
        <w:rPr>
          <w:rFonts w:hint="eastAsia" w:ascii="仿宋_GB2312" w:hAnsi="仿宋_GB2312" w:eastAsia="仿宋_GB2312" w:cs="仿宋_GB2312"/>
          <w:color w:val="000000"/>
          <w:sz w:val="32"/>
          <w:szCs w:val="32"/>
          <w:highlight w:val="none"/>
        </w:rPr>
        <w:t>》（见附件）的基础上，</w:t>
      </w:r>
      <w:r>
        <w:rPr>
          <w:rFonts w:hint="eastAsia" w:ascii="仿宋_GB2312" w:hAnsi="仿宋_GB2312" w:eastAsia="仿宋_GB2312" w:cs="仿宋_GB2312"/>
          <w:sz w:val="32"/>
          <w:szCs w:val="28"/>
          <w:highlight w:val="none"/>
        </w:rPr>
        <w:t>可结合本辖区实际情况，根据最简化原则，明确辖区各类型金融机构开业可选事项。</w:t>
      </w:r>
    </w:p>
    <w:p>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firstLine="643" w:firstLineChars="200"/>
        <w:textAlignment w:val="auto"/>
        <w:rPr>
          <w:rFonts w:ascii="仿宋_GB2312" w:hAnsi="仿宋_GB2312" w:eastAsia="仿宋_GB2312" w:cs="仿宋_GB2312"/>
          <w:sz w:val="32"/>
          <w:szCs w:val="28"/>
          <w:highlight w:val="none"/>
        </w:rPr>
      </w:pPr>
      <w:r>
        <w:rPr>
          <w:rFonts w:hint="eastAsia" w:ascii="仿宋_GB2312" w:hAnsi="仿宋_GB2312" w:eastAsia="仿宋_GB2312" w:cs="仿宋_GB2312"/>
          <w:b/>
          <w:bCs/>
          <w:sz w:val="32"/>
          <w:szCs w:val="28"/>
          <w:highlight w:val="none"/>
        </w:rPr>
        <w:t>第六条</w:t>
      </w:r>
      <w:r>
        <w:rPr>
          <w:rFonts w:hint="eastAsia" w:ascii="仿宋_GB2312" w:hAnsi="仿宋_GB2312" w:eastAsia="仿宋_GB2312" w:cs="仿宋_GB2312"/>
          <w:sz w:val="32"/>
          <w:szCs w:val="28"/>
          <w:highlight w:val="none"/>
        </w:rPr>
        <w:t xml:space="preserve"> </w:t>
      </w:r>
      <w:r>
        <w:rPr>
          <w:rFonts w:hint="eastAsia" w:ascii="仿宋_GB2312" w:hAnsi="仿宋_GB2312" w:eastAsia="仿宋_GB2312"/>
          <w:color w:val="000000"/>
          <w:kern w:val="0"/>
          <w:sz w:val="32"/>
          <w:highlight w:val="none"/>
          <w:lang w:eastAsia="zh-CN"/>
        </w:rPr>
        <w:t>中国人民银行福建省</w:t>
      </w:r>
      <w:r>
        <w:rPr>
          <w:rFonts w:hint="eastAsia" w:ascii="仿宋_GB2312" w:hAnsi="仿宋_GB2312" w:eastAsia="仿宋_GB2312"/>
          <w:b w:val="0"/>
          <w:bCs w:val="0"/>
          <w:color w:val="000000"/>
          <w:kern w:val="0"/>
          <w:sz w:val="32"/>
          <w:highlight w:val="none"/>
          <w:lang w:eastAsia="zh-CN"/>
        </w:rPr>
        <w:t>内</w:t>
      </w:r>
      <w:r>
        <w:rPr>
          <w:rFonts w:hint="eastAsia" w:ascii="仿宋_GB2312" w:hAnsi="仿宋_GB2312" w:eastAsia="仿宋_GB2312"/>
          <w:color w:val="000000"/>
          <w:kern w:val="0"/>
          <w:sz w:val="32"/>
          <w:highlight w:val="none"/>
          <w:lang w:eastAsia="zh-CN"/>
        </w:rPr>
        <w:t>各市分行</w:t>
      </w:r>
      <w:r>
        <w:rPr>
          <w:rFonts w:hint="eastAsia" w:ascii="仿宋_GB2312" w:hAnsi="仿宋_GB2312" w:eastAsia="仿宋_GB2312"/>
          <w:color w:val="000000"/>
          <w:kern w:val="0"/>
          <w:sz w:val="32"/>
          <w:highlight w:val="none"/>
        </w:rPr>
        <w:t>办理开业相关事项工作根据权限实行属地管理，由各</w:t>
      </w:r>
      <w:r>
        <w:rPr>
          <w:rFonts w:hint="eastAsia" w:ascii="仿宋_GB2312" w:hAnsi="仿宋_GB2312" w:eastAsia="仿宋_GB2312"/>
          <w:color w:val="000000"/>
          <w:kern w:val="0"/>
          <w:sz w:val="32"/>
          <w:highlight w:val="none"/>
          <w:lang w:eastAsia="zh-CN"/>
        </w:rPr>
        <w:t>市分行</w:t>
      </w:r>
      <w:r>
        <w:rPr>
          <w:rFonts w:hint="eastAsia" w:ascii="仿宋_GB2312" w:hAnsi="仿宋_GB2312" w:eastAsia="仿宋_GB2312"/>
          <w:color w:val="000000"/>
          <w:kern w:val="0"/>
          <w:sz w:val="32"/>
          <w:highlight w:val="none"/>
        </w:rPr>
        <w:t>主要负责同志负总责，并明确牵头管理部门，采取统一受理、各职能部门分项办理、统一反馈的方式。</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szCs w:val="24"/>
          <w:highlight w:val="none"/>
        </w:rPr>
      </w:pPr>
    </w:p>
    <w:p>
      <w:pPr>
        <w:pStyle w:val="2"/>
      </w:pPr>
    </w:p>
    <w:p>
      <w:pPr>
        <w:keepNext w:val="0"/>
        <w:keepLines w:val="0"/>
        <w:pageBreakBefore w:val="0"/>
        <w:kinsoku/>
        <w:wordWrap/>
        <w:overflowPunct/>
        <w:topLinePunct w:val="0"/>
        <w:autoSpaceDE w:val="0"/>
        <w:autoSpaceDN w:val="0"/>
        <w:bidi w:val="0"/>
        <w:adjustRightInd w:val="0"/>
        <w:snapToGrid w:val="0"/>
        <w:spacing w:line="560" w:lineRule="exact"/>
        <w:ind w:firstLine="0"/>
        <w:jc w:val="center"/>
        <w:textAlignment w:val="auto"/>
        <w:rPr>
          <w:rFonts w:ascii="黑体" w:hAnsi="黑体" w:eastAsia="黑体"/>
          <w:color w:val="000000"/>
          <w:kern w:val="0"/>
          <w:sz w:val="32"/>
        </w:rPr>
      </w:pPr>
      <w:r>
        <w:rPr>
          <w:rFonts w:hint="eastAsia" w:ascii="黑体" w:hAnsi="黑体" w:eastAsia="黑体"/>
          <w:color w:val="000000"/>
          <w:kern w:val="0"/>
          <w:sz w:val="32"/>
        </w:rPr>
        <w:t>第二章 申报与反馈办理</w:t>
      </w:r>
    </w:p>
    <w:p>
      <w:pPr>
        <w:keepNext w:val="0"/>
        <w:keepLines w:val="0"/>
        <w:pageBreakBefore w:val="0"/>
        <w:kinsoku/>
        <w:wordWrap/>
        <w:overflowPunct/>
        <w:topLinePunct w:val="0"/>
        <w:autoSpaceDE w:val="0"/>
        <w:autoSpaceDN w:val="0"/>
        <w:bidi w:val="0"/>
        <w:adjustRightInd w:val="0"/>
        <w:snapToGrid w:val="0"/>
        <w:spacing w:line="560" w:lineRule="exact"/>
        <w:ind w:firstLine="560"/>
        <w:textAlignment w:val="auto"/>
        <w:rPr>
          <w:rFonts w:hint="eastAsia" w:ascii="仿宋_GB2312" w:hAnsi="仿宋_GB2312" w:eastAsia="仿宋_GB2312"/>
          <w:color w:val="000000"/>
          <w:kern w:val="0"/>
          <w:sz w:val="32"/>
          <w:lang w:eastAsia="zh-CN"/>
        </w:rPr>
      </w:pPr>
    </w:p>
    <w:p>
      <w:pPr>
        <w:keepNext w:val="0"/>
        <w:keepLines w:val="0"/>
        <w:pageBreakBefore w:val="0"/>
        <w:kinsoku/>
        <w:wordWrap/>
        <w:overflowPunct/>
        <w:topLinePunct w:val="0"/>
        <w:autoSpaceDE w:val="0"/>
        <w:autoSpaceDN w:val="0"/>
        <w:bidi w:val="0"/>
        <w:adjustRightInd w:val="0"/>
        <w:snapToGrid w:val="0"/>
        <w:spacing w:line="560" w:lineRule="exact"/>
        <w:ind w:firstLine="560"/>
        <w:textAlignment w:val="auto"/>
        <w:rPr>
          <w:rFonts w:hint="eastAsia" w:ascii="仿宋_GB2312" w:hAnsi="仿宋_GB2312" w:eastAsia="仿宋_GB2312"/>
          <w:color w:val="000000"/>
          <w:kern w:val="0"/>
          <w:sz w:val="32"/>
          <w:highlight w:val="none"/>
          <w:lang w:eastAsia="zh-CN"/>
        </w:rPr>
      </w:pPr>
      <w:r>
        <w:rPr>
          <w:rFonts w:hint="eastAsia" w:ascii="仿宋_GB2312" w:hAnsi="仿宋_GB2312" w:eastAsia="仿宋_GB2312"/>
          <w:b/>
          <w:bCs/>
          <w:color w:val="000000"/>
          <w:kern w:val="0"/>
          <w:sz w:val="32"/>
        </w:rPr>
        <w:t>第</w:t>
      </w:r>
      <w:r>
        <w:rPr>
          <w:rFonts w:hint="eastAsia" w:ascii="仿宋_GB2312" w:hAnsi="仿宋_GB2312" w:eastAsia="仿宋_GB2312"/>
          <w:b/>
          <w:bCs/>
          <w:color w:val="000000"/>
          <w:kern w:val="0"/>
          <w:sz w:val="32"/>
          <w:lang w:eastAsia="zh-CN"/>
        </w:rPr>
        <w:t>七</w:t>
      </w:r>
      <w:r>
        <w:rPr>
          <w:rFonts w:hint="eastAsia" w:ascii="仿宋_GB2312" w:hAnsi="仿宋_GB2312" w:eastAsia="仿宋_GB2312"/>
          <w:b/>
          <w:bCs/>
          <w:color w:val="000000"/>
          <w:kern w:val="0"/>
          <w:sz w:val="32"/>
        </w:rPr>
        <w:t>条</w:t>
      </w:r>
      <w:r>
        <w:rPr>
          <w:rFonts w:hint="eastAsia" w:ascii="仿宋_GB2312" w:hAnsi="仿宋_GB2312" w:eastAsia="仿宋_GB2312"/>
          <w:color w:val="000000"/>
          <w:kern w:val="0"/>
          <w:sz w:val="32"/>
          <w:lang w:val="en-US" w:eastAsia="zh-CN"/>
        </w:rPr>
        <w:t xml:space="preserve"> </w:t>
      </w:r>
      <w:r>
        <w:rPr>
          <w:rFonts w:hint="eastAsia" w:ascii="仿宋_GB2312" w:hAnsi="仿宋_GB2312" w:eastAsia="仿宋_GB2312"/>
          <w:color w:val="000000"/>
          <w:kern w:val="0"/>
          <w:sz w:val="32"/>
        </w:rPr>
        <w:t>新设金融机构在领取金融监管部门</w:t>
      </w:r>
      <w:r>
        <w:rPr>
          <w:rFonts w:hint="eastAsia" w:ascii="仿宋_GB2312" w:hAnsi="仿宋_GB2312" w:eastAsia="仿宋_GB2312"/>
          <w:color w:val="000000"/>
          <w:kern w:val="0"/>
          <w:sz w:val="32"/>
          <w:lang w:eastAsia="zh-CN"/>
        </w:rPr>
        <w:t>开业核准文件</w:t>
      </w:r>
      <w:r>
        <w:rPr>
          <w:rFonts w:hint="eastAsia" w:ascii="仿宋_GB2312" w:hAnsi="仿宋_GB2312" w:eastAsia="仿宋_GB2312"/>
          <w:color w:val="000000"/>
          <w:kern w:val="0"/>
          <w:sz w:val="32"/>
        </w:rPr>
        <w:t>和市场监督管理部门营业执照后，按照</w:t>
      </w:r>
      <w:r>
        <w:rPr>
          <w:rFonts w:hint="eastAsia" w:ascii="仿宋_GB2312" w:hAnsi="仿宋_GB2312" w:eastAsia="仿宋_GB2312" w:cs="仿宋_GB2312"/>
          <w:sz w:val="32"/>
          <w:szCs w:val="28"/>
        </w:rPr>
        <w:t>《福建省新设金融机构开业相关事项办理指南</w:t>
      </w:r>
      <w:r>
        <w:rPr>
          <w:rFonts w:hint="eastAsia" w:ascii="仿宋_GB2312" w:hAnsi="仿宋_GB2312" w:eastAsia="仿宋_GB2312" w:cs="仿宋_GB2312"/>
          <w:color w:val="000000"/>
          <w:sz w:val="32"/>
          <w:szCs w:val="32"/>
        </w:rPr>
        <w:t>》</w:t>
      </w:r>
      <w:r>
        <w:rPr>
          <w:rFonts w:hint="eastAsia" w:ascii="仿宋_GB2312" w:hAnsi="仿宋_GB2312" w:eastAsia="仿宋_GB2312"/>
          <w:color w:val="000000"/>
          <w:kern w:val="0"/>
          <w:sz w:val="32"/>
        </w:rPr>
        <w:t>的要求，结合业务发展需要，</w:t>
      </w:r>
      <w:r>
        <w:rPr>
          <w:rFonts w:hint="eastAsia" w:ascii="仿宋_GB2312" w:hAnsi="仿宋_GB2312" w:eastAsia="仿宋_GB2312"/>
          <w:color w:val="000000"/>
          <w:kern w:val="0"/>
          <w:sz w:val="32"/>
          <w:lang w:eastAsia="zh-CN"/>
        </w:rPr>
        <w:t>以正式行文</w:t>
      </w:r>
      <w:r>
        <w:rPr>
          <w:rFonts w:hint="eastAsia" w:ascii="仿宋_GB2312" w:hAnsi="仿宋_GB2312" w:eastAsia="仿宋_GB2312"/>
          <w:color w:val="000000"/>
          <w:kern w:val="0"/>
          <w:sz w:val="32"/>
        </w:rPr>
        <w:t>向</w:t>
      </w:r>
      <w:r>
        <w:rPr>
          <w:rFonts w:hint="eastAsia" w:ascii="仿宋_GB2312" w:hAnsi="仿宋_GB2312" w:eastAsia="仿宋_GB2312"/>
          <w:color w:val="000000"/>
          <w:kern w:val="0"/>
          <w:sz w:val="32"/>
          <w:lang w:eastAsia="zh-CN"/>
        </w:rPr>
        <w:t>属地</w:t>
      </w:r>
      <w:r>
        <w:rPr>
          <w:rFonts w:hint="eastAsia" w:ascii="仿宋_GB2312" w:hAnsi="仿宋_GB2312" w:eastAsia="仿宋_GB2312"/>
          <w:color w:val="000000"/>
          <w:kern w:val="0"/>
          <w:sz w:val="32"/>
        </w:rPr>
        <w:t>人民银行提出办理</w:t>
      </w:r>
      <w:r>
        <w:rPr>
          <w:rFonts w:hint="eastAsia" w:ascii="仿宋_GB2312" w:hAnsi="仿宋_GB2312" w:eastAsia="仿宋_GB2312"/>
          <w:color w:val="000000"/>
          <w:kern w:val="0"/>
          <w:sz w:val="32"/>
          <w:highlight w:val="none"/>
        </w:rPr>
        <w:t>开业相关事项的申请，</w:t>
      </w:r>
      <w:r>
        <w:rPr>
          <w:rFonts w:hint="eastAsia" w:ascii="仿宋_GB2312" w:hAnsi="仿宋_GB2312" w:eastAsia="仿宋_GB2312"/>
          <w:color w:val="000000"/>
          <w:kern w:val="0"/>
          <w:sz w:val="32"/>
          <w:highlight w:val="none"/>
          <w:lang w:eastAsia="zh-CN"/>
        </w:rPr>
        <w:t>并</w:t>
      </w:r>
      <w:r>
        <w:rPr>
          <w:rFonts w:hint="eastAsia" w:ascii="仿宋_GB2312" w:hAnsi="仿宋_GB2312" w:eastAsia="仿宋_GB2312"/>
          <w:color w:val="000000"/>
          <w:kern w:val="0"/>
          <w:sz w:val="32"/>
          <w:highlight w:val="none"/>
        </w:rPr>
        <w:t>提交相关书面材料。</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b/>
          <w:bCs/>
          <w:color w:val="000000"/>
          <w:kern w:val="0"/>
          <w:sz w:val="32"/>
        </w:rPr>
        <w:t>第</w:t>
      </w:r>
      <w:r>
        <w:rPr>
          <w:rFonts w:hint="eastAsia" w:ascii="仿宋_GB2312" w:hAnsi="仿宋_GB2312" w:eastAsia="仿宋_GB2312"/>
          <w:b/>
          <w:bCs/>
          <w:color w:val="000000"/>
          <w:kern w:val="0"/>
          <w:sz w:val="32"/>
          <w:lang w:eastAsia="zh-CN"/>
        </w:rPr>
        <w:t>八</w:t>
      </w:r>
      <w:r>
        <w:rPr>
          <w:rFonts w:hint="eastAsia" w:ascii="仿宋_GB2312" w:hAnsi="仿宋_GB2312" w:eastAsia="仿宋_GB2312"/>
          <w:b/>
          <w:bCs/>
          <w:color w:val="000000"/>
          <w:kern w:val="0"/>
          <w:sz w:val="32"/>
        </w:rPr>
        <w:t>条</w:t>
      </w:r>
      <w:r>
        <w:rPr>
          <w:rFonts w:hint="eastAsia" w:ascii="仿宋_GB2312" w:hAnsi="仿宋_GB2312" w:eastAsia="仿宋_GB2312"/>
          <w:color w:val="000000"/>
          <w:kern w:val="0"/>
          <w:sz w:val="32"/>
        </w:rPr>
        <w:t xml:space="preserve"> 新设金融机构开业后</w:t>
      </w:r>
      <w:r>
        <w:rPr>
          <w:rFonts w:hint="eastAsia" w:ascii="仿宋_GB2312" w:hAnsi="仿宋_GB2312" w:eastAsia="仿宋_GB2312"/>
          <w:color w:val="000000"/>
          <w:kern w:val="0"/>
          <w:sz w:val="32"/>
          <w:lang w:eastAsia="zh-CN"/>
        </w:rPr>
        <w:t>以及</w:t>
      </w:r>
      <w:r>
        <w:rPr>
          <w:rFonts w:hint="eastAsia" w:ascii="仿宋_GB2312" w:hAnsi="仿宋_GB2312" w:eastAsia="仿宋_GB2312"/>
          <w:color w:val="000000"/>
          <w:kern w:val="0"/>
          <w:sz w:val="32"/>
        </w:rPr>
        <w:t>金融机构</w:t>
      </w:r>
      <w:r>
        <w:rPr>
          <w:rFonts w:hint="eastAsia" w:ascii="仿宋_GB2312" w:hAnsi="仿宋_GB2312" w:eastAsia="仿宋_GB2312"/>
          <w:color w:val="000000"/>
          <w:kern w:val="0"/>
          <w:sz w:val="32"/>
          <w:lang w:eastAsia="zh-CN"/>
        </w:rPr>
        <w:t>因</w:t>
      </w:r>
      <w:r>
        <w:rPr>
          <w:rFonts w:hint="eastAsia" w:ascii="仿宋_GB2312" w:hAnsi="仿宋_GB2312" w:eastAsia="仿宋_GB2312"/>
          <w:color w:val="000000"/>
          <w:kern w:val="0"/>
          <w:sz w:val="32"/>
        </w:rPr>
        <w:t>迁址、改制、合并、分立、升格等</w:t>
      </w:r>
      <w:r>
        <w:rPr>
          <w:rFonts w:hint="eastAsia" w:ascii="仿宋_GB2312" w:hAnsi="仿宋_GB2312" w:eastAsia="仿宋_GB2312"/>
          <w:color w:val="000000"/>
          <w:kern w:val="0"/>
          <w:sz w:val="32"/>
          <w:lang w:eastAsia="zh-CN"/>
        </w:rPr>
        <w:t>，</w:t>
      </w:r>
      <w:r>
        <w:rPr>
          <w:rFonts w:hint="eastAsia" w:ascii="仿宋_GB2312" w:hAnsi="仿宋_GB2312" w:eastAsia="仿宋_GB2312"/>
          <w:color w:val="000000"/>
          <w:kern w:val="0"/>
          <w:sz w:val="32"/>
        </w:rPr>
        <w:t>有新增业务事项申请需求的，应按照人民银行相关法律、法规、规章和规范性文件的要求，直接向人民银行有关职能部门提出申请，有关职能部门直接负责该申请的接收、审核与反馈。</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_GB2312" w:hAnsi="仿宋_GB2312" w:eastAsia="仿宋_GB2312"/>
          <w:color w:val="000000"/>
          <w:kern w:val="0"/>
          <w:sz w:val="32"/>
          <w:lang w:val="en-US" w:eastAsia="zh-CN"/>
        </w:rPr>
      </w:pPr>
      <w:r>
        <w:rPr>
          <w:rFonts w:hint="eastAsia" w:ascii="仿宋_GB2312" w:hAnsi="仿宋_GB2312" w:eastAsia="仿宋_GB2312"/>
          <w:b/>
          <w:bCs/>
          <w:color w:val="000000"/>
          <w:kern w:val="0"/>
          <w:sz w:val="32"/>
        </w:rPr>
        <w:t>第</w:t>
      </w:r>
      <w:r>
        <w:rPr>
          <w:rFonts w:hint="eastAsia" w:ascii="仿宋_GB2312" w:hAnsi="仿宋_GB2312" w:eastAsia="仿宋_GB2312"/>
          <w:b/>
          <w:bCs/>
          <w:color w:val="000000"/>
          <w:kern w:val="0"/>
          <w:sz w:val="32"/>
          <w:lang w:eastAsia="zh-CN"/>
        </w:rPr>
        <w:t>九</w:t>
      </w:r>
      <w:r>
        <w:rPr>
          <w:rFonts w:hint="eastAsia" w:ascii="仿宋_GB2312" w:hAnsi="仿宋_GB2312" w:eastAsia="仿宋_GB2312"/>
          <w:b/>
          <w:bCs/>
          <w:color w:val="000000"/>
          <w:kern w:val="0"/>
          <w:sz w:val="32"/>
        </w:rPr>
        <w:t>条</w:t>
      </w:r>
      <w:r>
        <w:rPr>
          <w:rFonts w:hint="eastAsia" w:ascii="仿宋_GB2312" w:hAnsi="仿宋_GB2312" w:eastAsia="仿宋_GB2312"/>
          <w:color w:val="000000"/>
          <w:kern w:val="0"/>
          <w:sz w:val="32"/>
        </w:rPr>
        <w:t xml:space="preserve"> 开业相关事项申请应包含以下内容：</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1.机构名称、营业场所地址；</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2.经营方针和计划、部门设置；</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3.拟任高管人员名单与简历；</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4.筹备工作情况、筹备人员构成；</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5.拟申请的开业相关事项及其准备情况；</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6.与拟申请的开业相关事项有关的风险控制制度和相关管理制度；</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7.申请材料真实性申明。</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olor w:val="000000"/>
          <w:kern w:val="0"/>
          <w:sz w:val="32"/>
          <w:lang w:eastAsia="zh-CN"/>
        </w:rPr>
      </w:pPr>
      <w:r>
        <w:rPr>
          <w:rFonts w:hint="eastAsia" w:ascii="仿宋_GB2312" w:hAnsi="仿宋_GB2312" w:eastAsia="仿宋_GB2312"/>
          <w:color w:val="000000"/>
          <w:kern w:val="0"/>
          <w:sz w:val="32"/>
        </w:rPr>
        <w:t>新设金融机构提交开业相关事项申请时应同时附送金融监管部门</w:t>
      </w:r>
      <w:r>
        <w:rPr>
          <w:rFonts w:hint="eastAsia" w:ascii="仿宋_GB2312" w:hAnsi="仿宋_GB2312" w:eastAsia="仿宋_GB2312"/>
          <w:color w:val="000000"/>
          <w:kern w:val="0"/>
          <w:sz w:val="32"/>
          <w:highlight w:val="none"/>
        </w:rPr>
        <w:t>开业核准文件</w:t>
      </w:r>
      <w:r>
        <w:rPr>
          <w:rFonts w:hint="eastAsia" w:ascii="仿宋_GB2312" w:hAnsi="仿宋_GB2312" w:eastAsia="仿宋_GB2312"/>
          <w:color w:val="000000"/>
          <w:kern w:val="0"/>
          <w:sz w:val="32"/>
        </w:rPr>
        <w:t>和</w:t>
      </w:r>
      <w:r>
        <w:rPr>
          <w:rFonts w:hint="eastAsia" w:ascii="仿宋_GB2312" w:hAnsi="仿宋_GB2312" w:eastAsia="仿宋_GB2312"/>
          <w:color w:val="000000"/>
          <w:kern w:val="0"/>
          <w:sz w:val="32"/>
          <w:lang w:eastAsia="zh-CN"/>
        </w:rPr>
        <w:t>市场监督</w:t>
      </w:r>
      <w:r>
        <w:rPr>
          <w:rFonts w:hint="eastAsia" w:ascii="仿宋_GB2312" w:hAnsi="仿宋_GB2312" w:eastAsia="仿宋_GB2312"/>
          <w:color w:val="000000"/>
          <w:kern w:val="0"/>
          <w:sz w:val="32"/>
        </w:rPr>
        <w:t>管理部门营业执照</w:t>
      </w:r>
      <w:r>
        <w:rPr>
          <w:rFonts w:hint="eastAsia" w:ascii="仿宋_GB2312" w:hAnsi="仿宋_GB2312" w:eastAsia="仿宋_GB2312"/>
          <w:color w:val="000000"/>
          <w:kern w:val="0"/>
          <w:sz w:val="32"/>
          <w:highlight w:val="none"/>
        </w:rPr>
        <w:t>等</w:t>
      </w:r>
      <w:r>
        <w:rPr>
          <w:rFonts w:hint="eastAsia" w:ascii="仿宋_GB2312" w:hAnsi="仿宋_GB2312" w:eastAsia="仿宋_GB2312"/>
          <w:color w:val="000000"/>
          <w:kern w:val="0"/>
          <w:sz w:val="32"/>
          <w:highlight w:val="none"/>
          <w:lang w:eastAsia="zh-CN"/>
        </w:rPr>
        <w:t>材料</w:t>
      </w:r>
      <w:r>
        <w:rPr>
          <w:rFonts w:hint="eastAsia" w:ascii="仿宋_GB2312" w:hAnsi="仿宋_GB2312" w:eastAsia="仿宋_GB2312"/>
          <w:color w:val="000000"/>
          <w:kern w:val="0"/>
          <w:sz w:val="32"/>
          <w:highlight w:val="none"/>
        </w:rPr>
        <w:t>的复印件</w:t>
      </w:r>
      <w:r>
        <w:rPr>
          <w:rFonts w:hint="eastAsia" w:ascii="仿宋_GB2312" w:hAnsi="仿宋_GB2312" w:eastAsia="仿宋_GB2312"/>
          <w:color w:val="000000"/>
          <w:kern w:val="0"/>
          <w:sz w:val="32"/>
        </w:rPr>
        <w:t>。拟开业的新设金融机构为法人的，还应当报送章程复印件、股东名册复印件。</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_GB2312" w:hAnsi="仿宋_GB2312" w:eastAsia="仿宋_GB2312"/>
          <w:color w:val="000000"/>
          <w:kern w:val="0"/>
          <w:sz w:val="32"/>
        </w:rPr>
      </w:pPr>
      <w:r>
        <w:rPr>
          <w:rFonts w:hint="eastAsia" w:ascii="仿宋_GB2312" w:hAnsi="仿宋_GB2312" w:eastAsia="仿宋_GB2312"/>
          <w:b/>
          <w:bCs/>
          <w:color w:val="000000"/>
          <w:kern w:val="0"/>
          <w:sz w:val="32"/>
        </w:rPr>
        <w:t>第十条</w:t>
      </w:r>
      <w:r>
        <w:rPr>
          <w:rFonts w:hint="eastAsia" w:ascii="仿宋_GB2312" w:hAnsi="仿宋_GB2312" w:eastAsia="仿宋_GB2312"/>
          <w:color w:val="000000"/>
          <w:kern w:val="0"/>
          <w:sz w:val="32"/>
        </w:rPr>
        <w:t xml:space="preserve"> </w:t>
      </w:r>
      <w:r>
        <w:rPr>
          <w:rFonts w:hint="eastAsia" w:ascii="仿宋_GB2312" w:hAnsi="仿宋_GB2312" w:eastAsia="仿宋_GB2312"/>
          <w:color w:val="000000"/>
          <w:kern w:val="0"/>
          <w:sz w:val="32"/>
          <w:lang w:eastAsia="zh-CN"/>
        </w:rPr>
        <w:t>中国人民银行福建省分行及各市分行</w:t>
      </w:r>
      <w:r>
        <w:rPr>
          <w:rFonts w:hint="eastAsia" w:ascii="仿宋_GB2312" w:hAnsi="仿宋_GB2312" w:eastAsia="仿宋_GB2312"/>
          <w:color w:val="000000"/>
          <w:kern w:val="0"/>
          <w:sz w:val="32"/>
        </w:rPr>
        <w:t>收到新设金融机构开业相关事项的申请后，由</w:t>
      </w:r>
      <w:r>
        <w:rPr>
          <w:rFonts w:hint="eastAsia" w:ascii="仿宋_GB2312" w:hAnsi="仿宋_GB2312" w:eastAsia="仿宋_GB2312"/>
          <w:color w:val="000000"/>
          <w:kern w:val="0"/>
          <w:sz w:val="32"/>
          <w:highlight w:val="none"/>
        </w:rPr>
        <w:t>牵头管理部门会同</w:t>
      </w:r>
      <w:r>
        <w:rPr>
          <w:rFonts w:hint="eastAsia" w:ascii="仿宋_GB2312" w:hAnsi="仿宋_GB2312" w:eastAsia="仿宋_GB2312"/>
          <w:color w:val="000000"/>
          <w:kern w:val="0"/>
          <w:sz w:val="32"/>
        </w:rPr>
        <w:t>相关职能部门对申请材料的完整性进行核对。</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olor w:val="000000"/>
          <w:kern w:val="0"/>
          <w:sz w:val="32"/>
        </w:rPr>
      </w:pPr>
      <w:r>
        <w:rPr>
          <w:rFonts w:hint="eastAsia" w:ascii="仿宋_GB2312" w:hAnsi="仿宋_GB2312" w:eastAsia="仿宋_GB2312"/>
          <w:color w:val="000000"/>
          <w:kern w:val="0"/>
          <w:sz w:val="32"/>
        </w:rPr>
        <w:t>申请材料完整性不符合要求的，应当一次性告知申请机构进行补充或者更正；申请材料完整性符合要求的，牵头管理部门将分项申请材料交各职能部门办理。</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hint="eastAsia" w:ascii="仿宋_GB2312" w:hAnsi="仿宋_GB2312" w:eastAsia="仿宋_GB2312"/>
          <w:color w:val="000000"/>
          <w:kern w:val="0"/>
          <w:sz w:val="32"/>
        </w:rPr>
      </w:pPr>
      <w:r>
        <w:rPr>
          <w:rFonts w:hint="eastAsia" w:ascii="仿宋_GB2312" w:hAnsi="仿宋_GB2312" w:eastAsia="仿宋_GB2312"/>
          <w:b/>
          <w:bCs/>
          <w:color w:val="000000"/>
          <w:kern w:val="0"/>
          <w:sz w:val="32"/>
          <w:lang w:eastAsia="zh-CN"/>
        </w:rPr>
        <w:t>第十一条</w:t>
      </w:r>
      <w:r>
        <w:rPr>
          <w:rFonts w:hint="eastAsia" w:ascii="仿宋_GB2312" w:hAnsi="仿宋_GB2312" w:eastAsia="仿宋_GB2312"/>
          <w:color w:val="000000"/>
          <w:kern w:val="0"/>
          <w:sz w:val="32"/>
          <w:lang w:val="en-US" w:eastAsia="zh-CN"/>
        </w:rPr>
        <w:t xml:space="preserve"> </w:t>
      </w:r>
      <w:r>
        <w:rPr>
          <w:rFonts w:hint="eastAsia" w:ascii="仿宋_GB2312" w:hAnsi="仿宋_GB2312" w:eastAsia="仿宋_GB2312"/>
          <w:color w:val="000000"/>
          <w:kern w:val="0"/>
          <w:sz w:val="32"/>
        </w:rPr>
        <w:t>各职能部门应当按照相关法律、法规、规章和规范性文件规定，对申请材料是否符合相关要求进行核对。</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hint="eastAsia" w:ascii="宋体-方正超大字符集" w:hAnsi="宋体-方正超大字符集" w:eastAsia="仿宋_GB2312" w:cs="宋体-方正超大字符集"/>
          <w:color w:val="000000"/>
          <w:kern w:val="0"/>
          <w:sz w:val="32"/>
          <w:szCs w:val="24"/>
          <w:lang w:eastAsia="zh-CN"/>
        </w:rPr>
      </w:pPr>
      <w:r>
        <w:rPr>
          <w:rFonts w:hint="eastAsia" w:ascii="仿宋_GB2312" w:hAnsi="仿宋_GB2312" w:eastAsia="仿宋_GB2312" w:cs="仿宋_GB2312"/>
          <w:sz w:val="32"/>
          <w:szCs w:val="28"/>
        </w:rPr>
        <w:t>申请材料齐全，符合相关法律、法规、规章和规范性文件规定的，应当同意其加入人民银行有关业务系统或办理有关业务，并由牵头管理部门以</w:t>
      </w:r>
      <w:r>
        <w:rPr>
          <w:rFonts w:hint="eastAsia" w:ascii="仿宋_GB2312" w:hAnsi="仿宋_GB2312" w:eastAsia="仿宋_GB2312" w:cs="仿宋_GB2312"/>
          <w:sz w:val="32"/>
          <w:szCs w:val="28"/>
          <w:highlight w:val="none"/>
          <w:lang w:eastAsia="zh-CN"/>
        </w:rPr>
        <w:t>所在单位</w:t>
      </w:r>
      <w:r>
        <w:rPr>
          <w:rFonts w:hint="eastAsia" w:ascii="仿宋_GB2312" w:hAnsi="仿宋_GB2312" w:eastAsia="仿宋_GB2312" w:cs="仿宋_GB2312"/>
          <w:sz w:val="32"/>
          <w:szCs w:val="28"/>
        </w:rPr>
        <w:t>的名义函复申请机构。</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_GB2312" w:hAnsi="仿宋_GB2312" w:eastAsia="仿宋_GB2312"/>
          <w:color w:val="000000"/>
          <w:kern w:val="0"/>
          <w:sz w:val="32"/>
        </w:rPr>
      </w:pPr>
      <w:r>
        <w:rPr>
          <w:rFonts w:hint="eastAsia" w:ascii="仿宋_GB2312" w:hAnsi="仿宋_GB2312" w:eastAsia="仿宋_GB2312"/>
          <w:b/>
          <w:bCs/>
          <w:color w:val="000000"/>
          <w:kern w:val="0"/>
          <w:sz w:val="32"/>
        </w:rPr>
        <w:t>第十</w:t>
      </w:r>
      <w:r>
        <w:rPr>
          <w:rFonts w:hint="eastAsia" w:ascii="仿宋_GB2312" w:hAnsi="仿宋_GB2312" w:eastAsia="仿宋_GB2312"/>
          <w:b/>
          <w:bCs/>
          <w:color w:val="000000"/>
          <w:kern w:val="0"/>
          <w:sz w:val="32"/>
          <w:lang w:eastAsia="zh-CN"/>
        </w:rPr>
        <w:t>二</w:t>
      </w:r>
      <w:r>
        <w:rPr>
          <w:rFonts w:hint="eastAsia" w:ascii="仿宋_GB2312" w:hAnsi="仿宋_GB2312" w:eastAsia="仿宋_GB2312"/>
          <w:b/>
          <w:bCs/>
          <w:color w:val="000000"/>
          <w:kern w:val="0"/>
          <w:sz w:val="32"/>
        </w:rPr>
        <w:t>条</w:t>
      </w:r>
      <w:r>
        <w:rPr>
          <w:rFonts w:hint="eastAsia" w:ascii="仿宋_GB2312" w:hAnsi="仿宋_GB2312" w:eastAsia="仿宋_GB2312"/>
          <w:color w:val="000000"/>
          <w:kern w:val="0"/>
          <w:sz w:val="32"/>
          <w:lang w:val="en-US" w:eastAsia="zh-CN"/>
        </w:rPr>
        <w:t xml:space="preserve"> </w:t>
      </w:r>
      <w:r>
        <w:rPr>
          <w:rFonts w:hint="eastAsia" w:ascii="仿宋_GB2312" w:hAnsi="仿宋_GB2312" w:eastAsia="仿宋_GB2312"/>
          <w:color w:val="000000"/>
          <w:kern w:val="0"/>
          <w:sz w:val="32"/>
          <w:lang w:eastAsia="zh-CN"/>
        </w:rPr>
        <w:t>中国人民银行福建省分行及各市分行在办理金融机构开业相关事项中，</w:t>
      </w:r>
      <w:r>
        <w:rPr>
          <w:rFonts w:hint="eastAsia" w:ascii="仿宋_GB2312" w:hAnsi="仿宋_GB2312" w:eastAsia="仿宋_GB2312"/>
          <w:color w:val="000000"/>
          <w:kern w:val="0"/>
          <w:sz w:val="32"/>
        </w:rPr>
        <w:t>指导和督促新设金融机构达到相关服务标准和要求。</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hint="eastAsia" w:ascii="仿宋_GB2312" w:hAnsi="仿宋_GB2312" w:eastAsia="仿宋_GB2312"/>
          <w:color w:val="000000"/>
          <w:kern w:val="0"/>
          <w:sz w:val="32"/>
          <w:lang w:eastAsia="zh-CN"/>
        </w:rPr>
      </w:pPr>
      <w:r>
        <w:rPr>
          <w:rFonts w:hint="eastAsia" w:ascii="仿宋_GB2312" w:hAnsi="仿宋_GB2312" w:eastAsia="仿宋_GB2312"/>
          <w:b/>
          <w:bCs/>
          <w:color w:val="000000"/>
          <w:kern w:val="0"/>
          <w:sz w:val="32"/>
        </w:rPr>
        <w:t>第十</w:t>
      </w:r>
      <w:r>
        <w:rPr>
          <w:rFonts w:hint="eastAsia" w:ascii="仿宋_GB2312" w:hAnsi="仿宋_GB2312" w:eastAsia="仿宋_GB2312"/>
          <w:b/>
          <w:bCs/>
          <w:color w:val="000000"/>
          <w:kern w:val="0"/>
          <w:sz w:val="32"/>
          <w:lang w:eastAsia="zh-CN"/>
        </w:rPr>
        <w:t>三</w:t>
      </w:r>
      <w:r>
        <w:rPr>
          <w:rFonts w:hint="eastAsia" w:ascii="仿宋_GB2312" w:hAnsi="仿宋_GB2312" w:eastAsia="仿宋_GB2312"/>
          <w:b/>
          <w:bCs/>
          <w:color w:val="000000"/>
          <w:kern w:val="0"/>
          <w:sz w:val="32"/>
        </w:rPr>
        <w:t>条</w:t>
      </w:r>
      <w:r>
        <w:rPr>
          <w:rFonts w:hint="eastAsia" w:ascii="仿宋_GB2312" w:hAnsi="仿宋_GB2312" w:eastAsia="仿宋_GB2312"/>
          <w:color w:val="000000"/>
          <w:kern w:val="0"/>
          <w:sz w:val="32"/>
        </w:rPr>
        <w:t xml:space="preserve"> </w:t>
      </w:r>
      <w:r>
        <w:rPr>
          <w:rFonts w:hint="eastAsia" w:ascii="仿宋_GB2312" w:hAnsi="仿宋_GB2312" w:eastAsia="仿宋_GB2312"/>
          <w:color w:val="000000"/>
          <w:kern w:val="0"/>
          <w:sz w:val="32"/>
          <w:lang w:eastAsia="zh-CN"/>
        </w:rPr>
        <w:t>中国人民银行福建省分行及各市分行</w:t>
      </w:r>
      <w:r>
        <w:rPr>
          <w:rFonts w:hint="eastAsia" w:ascii="仿宋_GB2312" w:hAnsi="仿宋_GB2312" w:eastAsia="仿宋_GB2312"/>
          <w:color w:val="000000"/>
          <w:kern w:val="0"/>
          <w:sz w:val="32"/>
        </w:rPr>
        <w:t>相关职能部门依据</w:t>
      </w:r>
      <w:r>
        <w:rPr>
          <w:rFonts w:hint="eastAsia" w:ascii="仿宋_GB2312" w:hAnsi="仿宋_GB2312" w:eastAsia="仿宋_GB2312"/>
          <w:color w:val="000000"/>
          <w:kern w:val="0"/>
          <w:sz w:val="32"/>
          <w:highlight w:val="none"/>
        </w:rPr>
        <w:t>复函</w:t>
      </w:r>
      <w:r>
        <w:rPr>
          <w:rFonts w:hint="eastAsia" w:ascii="仿宋_GB2312" w:hAnsi="仿宋_GB2312" w:eastAsia="仿宋_GB2312"/>
          <w:color w:val="000000"/>
          <w:kern w:val="0"/>
          <w:sz w:val="32"/>
        </w:rPr>
        <w:t>内容，按规定权限和程序及时为金融机构接入人民银行相应业务系统或者办理相关业务。</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b/>
          <w:bCs/>
          <w:color w:val="000000"/>
          <w:kern w:val="0"/>
          <w:sz w:val="32"/>
        </w:rPr>
        <w:t>第十</w:t>
      </w:r>
      <w:r>
        <w:rPr>
          <w:rFonts w:hint="eastAsia" w:ascii="仿宋_GB2312" w:hAnsi="仿宋_GB2312" w:eastAsia="仿宋_GB2312"/>
          <w:b/>
          <w:bCs/>
          <w:color w:val="000000"/>
          <w:kern w:val="0"/>
          <w:sz w:val="32"/>
          <w:lang w:eastAsia="zh-CN"/>
        </w:rPr>
        <w:t>四</w:t>
      </w:r>
      <w:r>
        <w:rPr>
          <w:rFonts w:hint="eastAsia" w:ascii="仿宋_GB2312" w:hAnsi="仿宋_GB2312" w:eastAsia="仿宋_GB2312"/>
          <w:b/>
          <w:bCs/>
          <w:color w:val="000000"/>
          <w:kern w:val="0"/>
          <w:sz w:val="32"/>
        </w:rPr>
        <w:t>条</w:t>
      </w:r>
      <w:r>
        <w:rPr>
          <w:rFonts w:hint="eastAsia" w:ascii="仿宋_GB2312" w:hAnsi="仿宋_GB2312" w:eastAsia="仿宋_GB2312"/>
          <w:color w:val="000000"/>
          <w:kern w:val="0"/>
          <w:sz w:val="32"/>
        </w:rPr>
        <w:t xml:space="preserve"> 为保证及时开业，新设金融机构应在筹备阶段积极按照人民银行的相关要求，在信贷、资金、金融稳定、统计、会计、支付结算、科技、货币发行、国库、征信、反洗钱、外汇等方面做好人员、制度、设备、设施等准备工作。</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p>
    <w:p>
      <w:pPr>
        <w:keepNext w:val="0"/>
        <w:keepLines w:val="0"/>
        <w:pageBreakBefore w:val="0"/>
        <w:kinsoku/>
        <w:wordWrap/>
        <w:overflowPunct/>
        <w:topLinePunct w:val="0"/>
        <w:autoSpaceDE w:val="0"/>
        <w:autoSpaceDN w:val="0"/>
        <w:bidi w:val="0"/>
        <w:adjustRightInd w:val="0"/>
        <w:snapToGrid w:val="0"/>
        <w:spacing w:line="560" w:lineRule="exact"/>
        <w:ind w:firstLine="0"/>
        <w:jc w:val="center"/>
        <w:textAlignment w:val="auto"/>
        <w:rPr>
          <w:rFonts w:hint="eastAsia" w:ascii="黑体" w:hAnsi="黑体" w:eastAsia="黑体"/>
          <w:color w:val="000000"/>
          <w:kern w:val="0"/>
          <w:sz w:val="32"/>
          <w:lang w:eastAsia="zh-CN"/>
        </w:rPr>
      </w:pPr>
      <w:r>
        <w:rPr>
          <w:rFonts w:hint="eastAsia" w:ascii="黑体" w:hAnsi="黑体" w:eastAsia="黑体"/>
          <w:color w:val="000000"/>
          <w:kern w:val="0"/>
          <w:sz w:val="32"/>
        </w:rPr>
        <w:t>第三章 管理与服务事项</w:t>
      </w:r>
    </w:p>
    <w:p>
      <w:pPr>
        <w:keepNext w:val="0"/>
        <w:keepLines w:val="0"/>
        <w:pageBreakBefore w:val="0"/>
        <w:kinsoku/>
        <w:wordWrap/>
        <w:overflowPunct/>
        <w:topLinePunct w:val="0"/>
        <w:autoSpaceDE w:val="0"/>
        <w:autoSpaceDN w:val="0"/>
        <w:bidi w:val="0"/>
        <w:adjustRightInd w:val="0"/>
        <w:snapToGrid w:val="0"/>
        <w:spacing w:line="560" w:lineRule="exact"/>
        <w:ind w:firstLine="0"/>
        <w:jc w:val="center"/>
        <w:textAlignment w:val="auto"/>
        <w:rPr>
          <w:rFonts w:hint="eastAsia" w:ascii="黑体" w:hAnsi="黑体" w:eastAsia="黑体"/>
          <w:color w:val="000000"/>
          <w:kern w:val="0"/>
          <w:sz w:val="32"/>
          <w:lang w:eastAsia="zh-CN"/>
        </w:rPr>
      </w:pP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b/>
          <w:bCs/>
          <w:color w:val="000000"/>
          <w:kern w:val="0"/>
          <w:sz w:val="32"/>
        </w:rPr>
        <w:t>第十五条</w:t>
      </w:r>
      <w:r>
        <w:rPr>
          <w:rFonts w:hint="eastAsia" w:ascii="仿宋_GB2312" w:hAnsi="仿宋_GB2312" w:eastAsia="仿宋_GB2312"/>
          <w:color w:val="000000"/>
          <w:kern w:val="0"/>
          <w:sz w:val="32"/>
        </w:rPr>
        <w:t xml:space="preserve"> </w:t>
      </w:r>
      <w:r>
        <w:rPr>
          <w:rFonts w:hint="eastAsia" w:ascii="仿宋_GB2312" w:hAnsi="仿宋_GB2312" w:eastAsia="仿宋_GB2312"/>
          <w:color w:val="000000"/>
          <w:kern w:val="0"/>
          <w:sz w:val="32"/>
          <w:lang w:eastAsia="zh-CN"/>
        </w:rPr>
        <w:t>中国人民银行福建省内各市分行</w:t>
      </w:r>
      <w:r>
        <w:rPr>
          <w:rFonts w:hint="eastAsia" w:ascii="仿宋_GB2312" w:hAnsi="仿宋_GB2312" w:eastAsia="仿宋_GB2312"/>
          <w:color w:val="000000"/>
          <w:kern w:val="0"/>
          <w:sz w:val="32"/>
        </w:rPr>
        <w:t>应参照本指引，结合当地实际完善</w:t>
      </w:r>
      <w:r>
        <w:rPr>
          <w:rFonts w:hint="eastAsia" w:ascii="仿宋_GB2312" w:hAnsi="仿宋_GB2312" w:eastAsia="仿宋_GB2312"/>
          <w:color w:val="000000"/>
          <w:kern w:val="0"/>
          <w:sz w:val="32"/>
          <w:lang w:eastAsia="zh-CN"/>
        </w:rPr>
        <w:t>开业管理</w:t>
      </w:r>
      <w:r>
        <w:rPr>
          <w:rFonts w:hint="eastAsia" w:ascii="仿宋_GB2312" w:hAnsi="仿宋_GB2312" w:eastAsia="仿宋_GB2312"/>
          <w:color w:val="000000"/>
          <w:kern w:val="0"/>
          <w:sz w:val="32"/>
        </w:rPr>
        <w:t>工作</w:t>
      </w:r>
      <w:r>
        <w:rPr>
          <w:rFonts w:hint="eastAsia" w:ascii="仿宋_GB2312" w:hAnsi="仿宋_GB2312" w:eastAsia="仿宋_GB2312"/>
          <w:color w:val="000000"/>
          <w:kern w:val="0"/>
          <w:sz w:val="32"/>
          <w:lang w:eastAsia="zh-CN"/>
        </w:rPr>
        <w:t>流程，</w:t>
      </w:r>
      <w:r>
        <w:rPr>
          <w:rFonts w:hint="eastAsia" w:ascii="仿宋_GB2312" w:hAnsi="仿宋_GB2312" w:eastAsia="仿宋_GB2312"/>
          <w:color w:val="000000"/>
          <w:kern w:val="0"/>
          <w:sz w:val="32"/>
        </w:rPr>
        <w:t>依据相关管理权限</w:t>
      </w:r>
      <w:r>
        <w:rPr>
          <w:rFonts w:hint="eastAsia" w:ascii="仿宋_GB2312" w:hAnsi="仿宋_GB2312" w:eastAsia="仿宋_GB2312"/>
          <w:color w:val="000000"/>
          <w:kern w:val="0"/>
          <w:sz w:val="32"/>
          <w:lang w:eastAsia="zh-CN"/>
        </w:rPr>
        <w:t>，</w:t>
      </w:r>
      <w:r>
        <w:rPr>
          <w:rFonts w:hint="eastAsia" w:ascii="仿宋_GB2312" w:hAnsi="仿宋_GB2312" w:eastAsia="仿宋_GB2312"/>
          <w:color w:val="000000"/>
          <w:kern w:val="0"/>
          <w:sz w:val="32"/>
        </w:rPr>
        <w:t>向金融机构</w:t>
      </w:r>
      <w:r>
        <w:rPr>
          <w:rFonts w:hint="eastAsia" w:ascii="仿宋_GB2312" w:hAnsi="仿宋_GB2312" w:eastAsia="仿宋_GB2312"/>
          <w:color w:val="000000"/>
          <w:kern w:val="0"/>
          <w:sz w:val="32"/>
          <w:lang w:eastAsia="zh-CN"/>
        </w:rPr>
        <w:t>规范</w:t>
      </w:r>
      <w:r>
        <w:rPr>
          <w:rFonts w:hint="eastAsia" w:ascii="仿宋_GB2312" w:hAnsi="仿宋_GB2312" w:eastAsia="仿宋_GB2312"/>
          <w:color w:val="000000"/>
          <w:kern w:val="0"/>
          <w:sz w:val="32"/>
        </w:rPr>
        <w:t>提供管理与服务。</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b/>
          <w:bCs/>
          <w:color w:val="000000"/>
          <w:kern w:val="0"/>
          <w:sz w:val="32"/>
        </w:rPr>
        <w:t>第十六条</w:t>
      </w:r>
      <w:r>
        <w:rPr>
          <w:rFonts w:hint="eastAsia" w:ascii="仿宋_GB2312" w:hAnsi="仿宋_GB2312" w:eastAsia="仿宋_GB2312"/>
          <w:color w:val="000000"/>
          <w:kern w:val="0"/>
          <w:sz w:val="32"/>
        </w:rPr>
        <w:t xml:space="preserve"> </w:t>
      </w:r>
      <w:r>
        <w:rPr>
          <w:rFonts w:hint="eastAsia" w:ascii="仿宋_GB2312" w:hAnsi="仿宋_GB2312" w:eastAsia="仿宋_GB2312" w:cs="仿宋_GB2312"/>
          <w:sz w:val="32"/>
          <w:szCs w:val="28"/>
          <w:lang w:eastAsia="zh-CN"/>
        </w:rPr>
        <w:t>中国人民银行福建省内各市分行</w:t>
      </w:r>
      <w:r>
        <w:rPr>
          <w:rFonts w:hint="eastAsia" w:ascii="仿宋_GB2312" w:hAnsi="仿宋_GB2312" w:eastAsia="仿宋_GB2312" w:cs="仿宋_GB2312"/>
          <w:sz w:val="32"/>
          <w:szCs w:val="28"/>
        </w:rPr>
        <w:t>应当依法履职，加强服务，严守工作纪律，切实防范法律风险和廉政风险。</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hint="eastAsia" w:ascii="仿宋_GB2312" w:hAnsi="仿宋_GB2312" w:eastAsia="宋体"/>
          <w:color w:val="000000"/>
          <w:kern w:val="0"/>
          <w:sz w:val="32"/>
          <w:lang w:eastAsia="zh-CN"/>
        </w:rPr>
      </w:pPr>
      <w:r>
        <w:rPr>
          <w:rFonts w:hint="eastAsia" w:ascii="仿宋_GB2312" w:hAnsi="仿宋_GB2312" w:eastAsia="仿宋_GB2312"/>
          <w:b/>
          <w:bCs/>
          <w:color w:val="000000"/>
          <w:kern w:val="0"/>
          <w:sz w:val="32"/>
        </w:rPr>
        <w:t>第十七条</w:t>
      </w:r>
      <w:r>
        <w:rPr>
          <w:rFonts w:hint="eastAsia" w:ascii="仿宋_GB2312" w:hAnsi="仿宋_GB2312" w:eastAsia="仿宋_GB2312"/>
          <w:color w:val="000000"/>
          <w:kern w:val="0"/>
          <w:sz w:val="32"/>
        </w:rPr>
        <w:t xml:space="preserve"> </w:t>
      </w:r>
      <w:r>
        <w:rPr>
          <w:rFonts w:hint="eastAsia" w:ascii="仿宋_GB2312" w:hAnsi="仿宋_GB2312" w:eastAsia="仿宋_GB2312"/>
          <w:color w:val="000000"/>
          <w:kern w:val="0"/>
          <w:sz w:val="32"/>
          <w:highlight w:val="none"/>
          <w:lang w:eastAsia="zh-CN"/>
        </w:rPr>
        <w:t>中国人民银行福建省内</w:t>
      </w:r>
      <w:r>
        <w:rPr>
          <w:rFonts w:hint="eastAsia" w:ascii="仿宋_GB2312" w:hAnsi="仿宋_GB2312" w:eastAsia="仿宋_GB2312"/>
          <w:color w:val="000000"/>
          <w:kern w:val="0"/>
          <w:sz w:val="32"/>
          <w:highlight w:val="none"/>
        </w:rPr>
        <w:t>各市分行</w:t>
      </w:r>
      <w:r>
        <w:rPr>
          <w:rFonts w:hint="eastAsia" w:ascii="仿宋_GB2312" w:hAnsi="仿宋_GB2312" w:eastAsia="仿宋_GB2312" w:cs="仿宋_GB2312"/>
          <w:sz w:val="32"/>
          <w:szCs w:val="28"/>
          <w:highlight w:val="none"/>
        </w:rPr>
        <w:t>应于每年1月10日前向中国人民银行福建省分行</w:t>
      </w:r>
      <w:r>
        <w:rPr>
          <w:rFonts w:hint="eastAsia" w:ascii="仿宋_GB2312" w:hAnsi="仿宋_GB2312" w:eastAsia="仿宋_GB2312" w:cs="仿宋_GB2312"/>
          <w:sz w:val="32"/>
          <w:szCs w:val="28"/>
        </w:rPr>
        <w:t>提交上一年度新设金融机构开业相关事项办理情况的工作总结</w:t>
      </w:r>
      <w:r>
        <w:rPr>
          <w:rFonts w:hint="eastAsia" w:ascii="仿宋_GB2312" w:hAnsi="仿宋_GB2312" w:eastAsia="仿宋_GB2312" w:cs="仿宋_GB2312"/>
          <w:sz w:val="32"/>
          <w:szCs w:val="28"/>
          <w:lang w:eastAsia="zh-CN"/>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olor w:val="000000"/>
          <w:kern w:val="0"/>
          <w:sz w:val="32"/>
        </w:rPr>
      </w:pPr>
    </w:p>
    <w:p>
      <w:pPr>
        <w:keepNext w:val="0"/>
        <w:keepLines w:val="0"/>
        <w:pageBreakBefore w:val="0"/>
        <w:kinsoku/>
        <w:wordWrap/>
        <w:overflowPunct/>
        <w:topLinePunct w:val="0"/>
        <w:autoSpaceDE w:val="0"/>
        <w:autoSpaceDN w:val="0"/>
        <w:bidi w:val="0"/>
        <w:adjustRightInd w:val="0"/>
        <w:snapToGrid w:val="0"/>
        <w:spacing w:line="560" w:lineRule="exact"/>
        <w:ind w:left="0" w:leftChars="0" w:right="0" w:rightChars="0" w:firstLine="0" w:firstLineChars="0"/>
        <w:jc w:val="center"/>
        <w:textAlignment w:val="auto"/>
        <w:rPr>
          <w:rFonts w:hint="eastAsia" w:ascii="黑体" w:hAnsi="黑体" w:eastAsia="黑体"/>
          <w:color w:val="000000"/>
          <w:kern w:val="0"/>
          <w:sz w:val="32"/>
        </w:rPr>
      </w:pPr>
      <w:r>
        <w:rPr>
          <w:rFonts w:hint="eastAsia" w:ascii="黑体" w:hAnsi="黑体" w:eastAsia="黑体"/>
          <w:color w:val="000000"/>
          <w:kern w:val="0"/>
          <w:sz w:val="32"/>
        </w:rPr>
        <w:t>第四章 附则</w:t>
      </w:r>
    </w:p>
    <w:p>
      <w:pPr>
        <w:pStyle w:val="2"/>
        <w:keepNext w:val="0"/>
        <w:keepLines w:val="0"/>
        <w:pageBreakBefore w:val="0"/>
        <w:kinsoku/>
        <w:wordWrap/>
        <w:overflowPunct/>
        <w:topLinePunct w:val="0"/>
        <w:bidi w:val="0"/>
        <w:adjustRightInd w:val="0"/>
        <w:snapToGrid w:val="0"/>
        <w:spacing w:line="560" w:lineRule="exact"/>
        <w:ind w:firstLine="0" w:firstLineChars="0"/>
        <w:jc w:val="center"/>
        <w:textAlignment w:val="auto"/>
      </w:pP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b/>
          <w:bCs/>
          <w:color w:val="000000"/>
          <w:kern w:val="0"/>
          <w:sz w:val="32"/>
        </w:rPr>
        <w:t>第</w:t>
      </w:r>
      <w:r>
        <w:rPr>
          <w:rFonts w:hint="eastAsia" w:ascii="仿宋_GB2312" w:hAnsi="仿宋_GB2312" w:eastAsia="仿宋_GB2312"/>
          <w:b/>
          <w:bCs/>
          <w:color w:val="000000"/>
          <w:kern w:val="0"/>
          <w:sz w:val="32"/>
          <w:lang w:eastAsia="zh-CN"/>
        </w:rPr>
        <w:t>十八</w:t>
      </w:r>
      <w:r>
        <w:rPr>
          <w:rFonts w:hint="eastAsia" w:ascii="仿宋_GB2312" w:hAnsi="仿宋_GB2312" w:eastAsia="仿宋_GB2312"/>
          <w:b/>
          <w:bCs/>
          <w:color w:val="000000"/>
          <w:kern w:val="0"/>
          <w:sz w:val="32"/>
        </w:rPr>
        <w:t>条</w:t>
      </w:r>
      <w:r>
        <w:rPr>
          <w:rFonts w:hint="eastAsia" w:ascii="仿宋_GB2312" w:hAnsi="仿宋_GB2312" w:eastAsia="仿宋_GB2312"/>
          <w:color w:val="000000"/>
          <w:kern w:val="0"/>
          <w:sz w:val="32"/>
        </w:rPr>
        <w:t xml:space="preserve"> 本指引自发布之日起施行。《中国人民银行福州中心支行关于印发</w:t>
      </w:r>
      <w:r>
        <w:rPr>
          <w:rFonts w:hint="eastAsia" w:ascii="仿宋_GB2312" w:hAnsi="仿宋_GB2312" w:eastAsia="仿宋_GB2312"/>
          <w:color w:val="000000"/>
          <w:kern w:val="0"/>
          <w:sz w:val="32"/>
          <w:lang w:val="en-US" w:eastAsia="zh-CN"/>
        </w:rPr>
        <w:t>&lt;</w:t>
      </w:r>
      <w:r>
        <w:rPr>
          <w:rFonts w:hint="eastAsia" w:ascii="仿宋_GB2312" w:hAnsi="仿宋_GB2312" w:eastAsia="仿宋_GB2312"/>
          <w:color w:val="000000"/>
          <w:kern w:val="0"/>
          <w:sz w:val="32"/>
        </w:rPr>
        <w:t>福建省新设金融机构开业相关事项办理指引（试行）</w:t>
      </w:r>
      <w:r>
        <w:rPr>
          <w:rFonts w:hint="eastAsia" w:ascii="仿宋_GB2312" w:hAnsi="仿宋_GB2312" w:eastAsia="仿宋_GB2312"/>
          <w:color w:val="000000"/>
          <w:kern w:val="0"/>
          <w:sz w:val="32"/>
          <w:lang w:eastAsia="zh-CN"/>
        </w:rPr>
        <w:t>&gt;</w:t>
      </w:r>
      <w:r>
        <w:rPr>
          <w:rFonts w:hint="eastAsia" w:ascii="仿宋_GB2312" w:hAnsi="仿宋_GB2312" w:eastAsia="仿宋_GB2312"/>
          <w:color w:val="000000"/>
          <w:kern w:val="0"/>
          <w:sz w:val="32"/>
        </w:rPr>
        <w:t>的通知》</w:t>
      </w:r>
      <w:r>
        <w:rPr>
          <w:rFonts w:hint="eastAsia" w:ascii="仿宋_GB2312" w:hAnsi="仿宋_GB2312" w:eastAsia="仿宋_GB2312"/>
          <w:color w:val="000000"/>
          <w:kern w:val="0"/>
          <w:sz w:val="32"/>
          <w:lang w:eastAsia="zh-CN"/>
        </w:rPr>
        <w:t>（</w:t>
      </w:r>
      <w:r>
        <w:rPr>
          <w:rFonts w:hint="eastAsia" w:ascii="仿宋_GB2312" w:hAnsi="仿宋_GB2312" w:eastAsia="仿宋_GB2312"/>
          <w:color w:val="000000"/>
          <w:kern w:val="0"/>
          <w:sz w:val="32"/>
        </w:rPr>
        <w:t>福银〔2023〕14号</w:t>
      </w:r>
      <w:r>
        <w:rPr>
          <w:rFonts w:hint="eastAsia" w:ascii="仿宋_GB2312" w:hAnsi="仿宋_GB2312" w:eastAsia="仿宋_GB2312"/>
          <w:color w:val="000000"/>
          <w:kern w:val="0"/>
          <w:sz w:val="32"/>
          <w:lang w:eastAsia="zh-CN"/>
        </w:rPr>
        <w:t>）</w:t>
      </w:r>
      <w:r>
        <w:rPr>
          <w:rFonts w:hint="eastAsia" w:ascii="仿宋_GB2312" w:hAnsi="仿宋_GB2312" w:eastAsia="仿宋_GB2312"/>
          <w:color w:val="000000"/>
          <w:kern w:val="0"/>
          <w:sz w:val="32"/>
        </w:rPr>
        <w:t>同时废止。</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_GB2312" w:hAnsi="仿宋_GB2312" w:eastAsia="仿宋_GB2312"/>
          <w:color w:val="000000"/>
          <w:kern w:val="0"/>
          <w:sz w:val="32"/>
        </w:rPr>
      </w:pPr>
      <w:r>
        <w:rPr>
          <w:rFonts w:hint="eastAsia" w:ascii="仿宋_GB2312" w:hAnsi="仿宋_GB2312" w:eastAsia="仿宋_GB2312"/>
          <w:b/>
          <w:bCs/>
          <w:color w:val="000000"/>
          <w:kern w:val="0"/>
          <w:sz w:val="32"/>
        </w:rPr>
        <w:t>第</w:t>
      </w:r>
      <w:r>
        <w:rPr>
          <w:rFonts w:hint="eastAsia" w:ascii="仿宋_GB2312" w:hAnsi="仿宋_GB2312" w:eastAsia="仿宋_GB2312"/>
          <w:b/>
          <w:bCs/>
          <w:color w:val="000000"/>
          <w:kern w:val="0"/>
          <w:sz w:val="32"/>
          <w:lang w:eastAsia="zh-CN"/>
        </w:rPr>
        <w:t>十九</w:t>
      </w:r>
      <w:r>
        <w:rPr>
          <w:rFonts w:hint="eastAsia" w:ascii="仿宋_GB2312" w:hAnsi="仿宋_GB2312" w:eastAsia="仿宋_GB2312"/>
          <w:b/>
          <w:bCs/>
          <w:color w:val="000000"/>
          <w:kern w:val="0"/>
          <w:sz w:val="32"/>
        </w:rPr>
        <w:t>条</w:t>
      </w:r>
      <w:r>
        <w:rPr>
          <w:rFonts w:hint="eastAsia" w:ascii="仿宋_GB2312" w:hAnsi="仿宋_GB2312" w:eastAsia="仿宋_GB2312"/>
          <w:color w:val="000000"/>
          <w:kern w:val="0"/>
          <w:sz w:val="32"/>
        </w:rPr>
        <w:t xml:space="preserve"> 本指引由</w:t>
      </w:r>
      <w:r>
        <w:rPr>
          <w:rFonts w:hint="eastAsia" w:ascii="仿宋_GB2312" w:hAnsi="仿宋_GB2312" w:eastAsia="仿宋_GB2312"/>
          <w:color w:val="000000"/>
          <w:kern w:val="0"/>
          <w:sz w:val="32"/>
          <w:lang w:eastAsia="zh-CN"/>
        </w:rPr>
        <w:t>中国</w:t>
      </w:r>
      <w:r>
        <w:rPr>
          <w:rFonts w:hint="eastAsia" w:ascii="仿宋_GB2312" w:hAnsi="仿宋_GB2312" w:eastAsia="仿宋_GB2312"/>
          <w:color w:val="000000"/>
          <w:kern w:val="0"/>
          <w:sz w:val="32"/>
        </w:rPr>
        <w:t>人民银行福建省分行负责解释</w:t>
      </w:r>
      <w:r>
        <w:rPr>
          <w:rFonts w:hint="eastAsia" w:ascii="仿宋_GB2312" w:hAnsi="仿宋_GB2312" w:eastAsia="仿宋_GB2312"/>
          <w:color w:val="000000"/>
          <w:kern w:val="0"/>
          <w:sz w:val="32"/>
          <w:lang w:eastAsia="zh-CN"/>
        </w:rPr>
        <w:t>。</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p>
    <w:p>
      <w:pPr>
        <w:keepNext w:val="0"/>
        <w:keepLines w:val="0"/>
        <w:pageBreakBefore w:val="0"/>
        <w:kinsoku/>
        <w:wordWrap/>
        <w:overflowPunct/>
        <w:topLinePunct w:val="0"/>
        <w:autoSpaceDE w:val="0"/>
        <w:autoSpaceDN w:val="0"/>
        <w:bidi w:val="0"/>
        <w:adjustRightInd w:val="0"/>
        <w:snapToGrid w:val="0"/>
        <w:spacing w:line="560" w:lineRule="exact"/>
        <w:ind w:firstLine="1280" w:firstLineChars="40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附：</w:t>
      </w:r>
      <w:bookmarkStart w:id="0" w:name="_GoBack"/>
      <w:bookmarkEnd w:id="0"/>
      <w:r>
        <w:rPr>
          <w:rFonts w:hint="eastAsia" w:ascii="仿宋_GB2312" w:hAnsi="仿宋_GB2312" w:eastAsia="仿宋_GB2312"/>
          <w:color w:val="000000"/>
          <w:kern w:val="0"/>
          <w:sz w:val="32"/>
        </w:rPr>
        <w:t>1.福建省银行业金融机构开业相关事项办理指南</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 xml:space="preserve">   </w:t>
      </w:r>
      <w:r>
        <w:rPr>
          <w:rFonts w:hint="eastAsia" w:ascii="仿宋_GB2312" w:hAnsi="仿宋_GB2312" w:eastAsia="仿宋_GB2312"/>
          <w:color w:val="000000"/>
          <w:kern w:val="0"/>
          <w:sz w:val="32"/>
          <w:lang w:val="en-US" w:eastAsia="zh-CN"/>
        </w:rPr>
        <w:t xml:space="preserve"> </w:t>
      </w:r>
      <w:r>
        <w:rPr>
          <w:rFonts w:hint="eastAsia" w:ascii="仿宋_GB2312" w:hAnsi="仿宋_GB2312" w:eastAsia="仿宋_GB2312"/>
          <w:color w:val="000000"/>
          <w:kern w:val="0"/>
          <w:sz w:val="32"/>
        </w:rPr>
        <w:t>2.福建省证券业金融机构开业相关事项办理指南</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olor w:val="000000"/>
          <w:kern w:val="0"/>
          <w:sz w:val="32"/>
        </w:rPr>
      </w:pPr>
      <w:r>
        <w:rPr>
          <w:rFonts w:hint="eastAsia" w:ascii="仿宋_GB2312" w:hAnsi="仿宋_GB2312" w:eastAsia="仿宋_GB2312"/>
          <w:color w:val="000000"/>
          <w:kern w:val="0"/>
          <w:sz w:val="32"/>
        </w:rPr>
        <w:t xml:space="preserve">  </w:t>
      </w:r>
      <w:r>
        <w:rPr>
          <w:rFonts w:hint="eastAsia" w:ascii="仿宋_GB2312" w:hAnsi="仿宋_GB2312" w:eastAsia="仿宋_GB2312"/>
          <w:color w:val="000000"/>
          <w:kern w:val="0"/>
          <w:sz w:val="32"/>
          <w:lang w:val="en-US" w:eastAsia="zh-CN"/>
        </w:rPr>
        <w:t xml:space="preserve"> </w:t>
      </w:r>
      <w:r>
        <w:rPr>
          <w:rFonts w:hint="eastAsia" w:ascii="仿宋_GB2312" w:hAnsi="仿宋_GB2312" w:eastAsia="仿宋_GB2312"/>
          <w:color w:val="000000"/>
          <w:kern w:val="0"/>
          <w:sz w:val="32"/>
        </w:rPr>
        <w:t xml:space="preserve"> 3.福建省保险业金融机构开业相关事项办理指南</w:t>
      </w:r>
    </w:p>
    <w:sectPr>
      <w:footerReference r:id="rId3" w:type="default"/>
      <w:pgSz w:w="11906" w:h="16838"/>
      <w:pgMar w:top="2098" w:right="1531" w:bottom="1984" w:left="1531" w:header="851" w:footer="1417" w:gutter="0"/>
      <w:pgNumType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pPr>
                          <w:r>
                            <w:rPr>
                              <w:rFonts w:hint="eastAsia" w:ascii="宋体" w:hAnsi="宋体" w:eastAsia="宋体"/>
                              <w:snapToGrid/>
                              <w:vanish w:val="0"/>
                              <w:color w:val="auto"/>
                              <w:spacing w:val="0"/>
                              <w:w w:val="100"/>
                              <w:kern w:val="2"/>
                              <w:position w:val="0"/>
                              <w:sz w:val="28"/>
                            </w:rPr>
                            <w:t xml:space="preserve">— </w:t>
                          </w:r>
                          <w:r>
                            <w:rPr>
                              <w:rFonts w:hint="eastAsia" w:ascii="宋体" w:hAnsi="宋体" w:eastAsia="宋体"/>
                              <w:snapToGrid/>
                              <w:vanish w:val="0"/>
                              <w:color w:val="auto"/>
                              <w:spacing w:val="0"/>
                              <w:w w:val="100"/>
                              <w:kern w:val="2"/>
                              <w:position w:val="0"/>
                              <w:sz w:val="28"/>
                            </w:rPr>
                            <w:fldChar w:fldCharType="begin"/>
                          </w:r>
                          <w:r>
                            <w:rPr>
                              <w:rFonts w:hint="eastAsia" w:ascii="宋体" w:hAnsi="宋体" w:eastAsia="宋体"/>
                              <w:snapToGrid/>
                              <w:vanish w:val="0"/>
                              <w:color w:val="auto"/>
                              <w:spacing w:val="0"/>
                              <w:w w:val="100"/>
                              <w:kern w:val="2"/>
                              <w:position w:val="0"/>
                              <w:sz w:val="28"/>
                            </w:rPr>
                            <w:instrText xml:space="preserve"> PAGE  \* MERGEFORMAT </w:instrText>
                          </w:r>
                          <w:r>
                            <w:rPr>
                              <w:rFonts w:hint="eastAsia" w:ascii="宋体" w:hAnsi="宋体" w:eastAsia="宋体"/>
                              <w:snapToGrid/>
                              <w:vanish w:val="0"/>
                              <w:color w:val="auto"/>
                              <w:spacing w:val="0"/>
                              <w:w w:val="100"/>
                              <w:kern w:val="2"/>
                              <w:position w:val="0"/>
                              <w:sz w:val="28"/>
                            </w:rPr>
                            <w:fldChar w:fldCharType="separate"/>
                          </w:r>
                          <w:r>
                            <w:t>2</w:t>
                          </w:r>
                          <w:r>
                            <w:rPr>
                              <w:rFonts w:hint="eastAsia" w:ascii="宋体" w:hAnsi="宋体" w:eastAsia="宋体"/>
                              <w:snapToGrid/>
                              <w:vanish w:val="0"/>
                              <w:color w:val="auto"/>
                              <w:spacing w:val="0"/>
                              <w:w w:val="100"/>
                              <w:kern w:val="2"/>
                              <w:position w:val="0"/>
                              <w:sz w:val="28"/>
                            </w:rPr>
                            <w:fldChar w:fldCharType="end"/>
                          </w:r>
                          <w:r>
                            <w:rPr>
                              <w:rFonts w:hint="eastAsia" w:ascii="宋体" w:hAnsi="宋体" w:eastAsia="宋体"/>
                              <w:snapToGrid/>
                              <w:vanish w:val="0"/>
                              <w:color w:val="auto"/>
                              <w:spacing w:val="0"/>
                              <w:w w:val="100"/>
                              <w:kern w:val="2"/>
                              <w:position w:val="0"/>
                              <w:sz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pPr>
                    <w:r>
                      <w:rPr>
                        <w:rFonts w:hint="eastAsia" w:ascii="宋体" w:hAnsi="宋体" w:eastAsia="宋体"/>
                        <w:snapToGrid/>
                        <w:vanish w:val="0"/>
                        <w:color w:val="auto"/>
                        <w:spacing w:val="0"/>
                        <w:w w:val="100"/>
                        <w:kern w:val="2"/>
                        <w:position w:val="0"/>
                        <w:sz w:val="28"/>
                      </w:rPr>
                      <w:t xml:space="preserve">— </w:t>
                    </w:r>
                    <w:r>
                      <w:rPr>
                        <w:rFonts w:hint="eastAsia" w:ascii="宋体" w:hAnsi="宋体" w:eastAsia="宋体"/>
                        <w:snapToGrid/>
                        <w:vanish w:val="0"/>
                        <w:color w:val="auto"/>
                        <w:spacing w:val="0"/>
                        <w:w w:val="100"/>
                        <w:kern w:val="2"/>
                        <w:position w:val="0"/>
                        <w:sz w:val="28"/>
                      </w:rPr>
                      <w:fldChar w:fldCharType="begin"/>
                    </w:r>
                    <w:r>
                      <w:rPr>
                        <w:rFonts w:hint="eastAsia" w:ascii="宋体" w:hAnsi="宋体" w:eastAsia="宋体"/>
                        <w:snapToGrid/>
                        <w:vanish w:val="0"/>
                        <w:color w:val="auto"/>
                        <w:spacing w:val="0"/>
                        <w:w w:val="100"/>
                        <w:kern w:val="2"/>
                        <w:position w:val="0"/>
                        <w:sz w:val="28"/>
                      </w:rPr>
                      <w:instrText xml:space="preserve"> PAGE  \* MERGEFORMAT </w:instrText>
                    </w:r>
                    <w:r>
                      <w:rPr>
                        <w:rFonts w:hint="eastAsia" w:ascii="宋体" w:hAnsi="宋体" w:eastAsia="宋体"/>
                        <w:snapToGrid/>
                        <w:vanish w:val="0"/>
                        <w:color w:val="auto"/>
                        <w:spacing w:val="0"/>
                        <w:w w:val="100"/>
                        <w:kern w:val="2"/>
                        <w:position w:val="0"/>
                        <w:sz w:val="28"/>
                      </w:rPr>
                      <w:fldChar w:fldCharType="separate"/>
                    </w:r>
                    <w:r>
                      <w:t>2</w:t>
                    </w:r>
                    <w:r>
                      <w:rPr>
                        <w:rFonts w:hint="eastAsia" w:ascii="宋体" w:hAnsi="宋体" w:eastAsia="宋体"/>
                        <w:snapToGrid/>
                        <w:vanish w:val="0"/>
                        <w:color w:val="auto"/>
                        <w:spacing w:val="0"/>
                        <w:w w:val="100"/>
                        <w:kern w:val="2"/>
                        <w:position w:val="0"/>
                        <w:sz w:val="28"/>
                      </w:rPr>
                      <w:fldChar w:fldCharType="end"/>
                    </w:r>
                    <w:r>
                      <w:rPr>
                        <w:rFonts w:hint="eastAsia" w:ascii="宋体" w:hAnsi="宋体" w:eastAsia="宋体"/>
                        <w:snapToGrid/>
                        <w:vanish w:val="0"/>
                        <w:color w:val="auto"/>
                        <w:spacing w:val="0"/>
                        <w:w w:val="100"/>
                        <w:kern w:val="2"/>
                        <w:position w:val="0"/>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99288"/>
    <w:multiLevelType w:val="singleLevel"/>
    <w:tmpl w:val="27B99288"/>
    <w:lvl w:ilvl="0" w:tentative="0">
      <w:start w:val="3"/>
      <w:numFmt w:val="chineseCounting"/>
      <w:suff w:val="space"/>
      <w:lvlText w:val="第%1条"/>
      <w:lvlJc w:val="left"/>
      <w:rPr>
        <w:rFonts w:hint="eastAsia"/>
        <w:b/>
        <w:bCs/>
        <w:i w:val="0"/>
        <w:i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64"/>
    <w:rsid w:val="00001DD5"/>
    <w:rsid w:val="00002B81"/>
    <w:rsid w:val="000318AB"/>
    <w:rsid w:val="00050B4B"/>
    <w:rsid w:val="00053749"/>
    <w:rsid w:val="000600C8"/>
    <w:rsid w:val="00062748"/>
    <w:rsid w:val="00066E62"/>
    <w:rsid w:val="00085189"/>
    <w:rsid w:val="000C0117"/>
    <w:rsid w:val="000D0C2B"/>
    <w:rsid w:val="000D69E7"/>
    <w:rsid w:val="000F1767"/>
    <w:rsid w:val="00115491"/>
    <w:rsid w:val="001258E4"/>
    <w:rsid w:val="00126470"/>
    <w:rsid w:val="0012708B"/>
    <w:rsid w:val="001325A5"/>
    <w:rsid w:val="0014326C"/>
    <w:rsid w:val="00157D25"/>
    <w:rsid w:val="001922AE"/>
    <w:rsid w:val="001A6352"/>
    <w:rsid w:val="001C2C7F"/>
    <w:rsid w:val="001D5D31"/>
    <w:rsid w:val="001E1040"/>
    <w:rsid w:val="00233749"/>
    <w:rsid w:val="002338A0"/>
    <w:rsid w:val="00251079"/>
    <w:rsid w:val="00266001"/>
    <w:rsid w:val="00282E91"/>
    <w:rsid w:val="00286DB4"/>
    <w:rsid w:val="002A7903"/>
    <w:rsid w:val="002B45CB"/>
    <w:rsid w:val="002D7A55"/>
    <w:rsid w:val="00310619"/>
    <w:rsid w:val="003133EC"/>
    <w:rsid w:val="00314404"/>
    <w:rsid w:val="00314F14"/>
    <w:rsid w:val="00320F53"/>
    <w:rsid w:val="003278BD"/>
    <w:rsid w:val="00341F51"/>
    <w:rsid w:val="00342196"/>
    <w:rsid w:val="003557BA"/>
    <w:rsid w:val="00366361"/>
    <w:rsid w:val="003746DE"/>
    <w:rsid w:val="003754DC"/>
    <w:rsid w:val="00375F8A"/>
    <w:rsid w:val="00381060"/>
    <w:rsid w:val="00383ABA"/>
    <w:rsid w:val="003A0B92"/>
    <w:rsid w:val="003A4981"/>
    <w:rsid w:val="003A5159"/>
    <w:rsid w:val="003B4137"/>
    <w:rsid w:val="003B4B18"/>
    <w:rsid w:val="003B530F"/>
    <w:rsid w:val="00400662"/>
    <w:rsid w:val="00403D3C"/>
    <w:rsid w:val="004067B1"/>
    <w:rsid w:val="00414EE9"/>
    <w:rsid w:val="004464E9"/>
    <w:rsid w:val="00451E63"/>
    <w:rsid w:val="00463899"/>
    <w:rsid w:val="00467476"/>
    <w:rsid w:val="00475489"/>
    <w:rsid w:val="00484015"/>
    <w:rsid w:val="004A17BD"/>
    <w:rsid w:val="004B72B1"/>
    <w:rsid w:val="004C206F"/>
    <w:rsid w:val="004D1CED"/>
    <w:rsid w:val="004E6194"/>
    <w:rsid w:val="004F2A04"/>
    <w:rsid w:val="00520D92"/>
    <w:rsid w:val="00523BCE"/>
    <w:rsid w:val="005341BA"/>
    <w:rsid w:val="0053428A"/>
    <w:rsid w:val="00536905"/>
    <w:rsid w:val="0054225D"/>
    <w:rsid w:val="005A6705"/>
    <w:rsid w:val="005B153A"/>
    <w:rsid w:val="005B4A73"/>
    <w:rsid w:val="005C3A46"/>
    <w:rsid w:val="005D1FF5"/>
    <w:rsid w:val="005E55BB"/>
    <w:rsid w:val="005F0C43"/>
    <w:rsid w:val="005F0E67"/>
    <w:rsid w:val="006004F6"/>
    <w:rsid w:val="00601BFE"/>
    <w:rsid w:val="006034F8"/>
    <w:rsid w:val="00623076"/>
    <w:rsid w:val="00630A71"/>
    <w:rsid w:val="0064504A"/>
    <w:rsid w:val="006557BB"/>
    <w:rsid w:val="006572CF"/>
    <w:rsid w:val="0068723E"/>
    <w:rsid w:val="006B31AF"/>
    <w:rsid w:val="006C5BC9"/>
    <w:rsid w:val="006E623D"/>
    <w:rsid w:val="006E6440"/>
    <w:rsid w:val="006F2511"/>
    <w:rsid w:val="006F29B5"/>
    <w:rsid w:val="00707C20"/>
    <w:rsid w:val="00740BC6"/>
    <w:rsid w:val="00760800"/>
    <w:rsid w:val="00765B8F"/>
    <w:rsid w:val="00774C5A"/>
    <w:rsid w:val="00783372"/>
    <w:rsid w:val="007A23BD"/>
    <w:rsid w:val="007A5606"/>
    <w:rsid w:val="007D70D1"/>
    <w:rsid w:val="007F7BF1"/>
    <w:rsid w:val="00800FC8"/>
    <w:rsid w:val="00812105"/>
    <w:rsid w:val="00813DEB"/>
    <w:rsid w:val="00830812"/>
    <w:rsid w:val="008352DC"/>
    <w:rsid w:val="00837D64"/>
    <w:rsid w:val="00847FEC"/>
    <w:rsid w:val="00881457"/>
    <w:rsid w:val="00883140"/>
    <w:rsid w:val="00886074"/>
    <w:rsid w:val="00887F77"/>
    <w:rsid w:val="008A1236"/>
    <w:rsid w:val="008A2F8C"/>
    <w:rsid w:val="008A3BAE"/>
    <w:rsid w:val="008B08F5"/>
    <w:rsid w:val="008C57FD"/>
    <w:rsid w:val="008C7B16"/>
    <w:rsid w:val="00914158"/>
    <w:rsid w:val="009149B5"/>
    <w:rsid w:val="0092190F"/>
    <w:rsid w:val="009306BE"/>
    <w:rsid w:val="009363D4"/>
    <w:rsid w:val="00957A1A"/>
    <w:rsid w:val="00967E07"/>
    <w:rsid w:val="00986571"/>
    <w:rsid w:val="009933D2"/>
    <w:rsid w:val="009A0E3C"/>
    <w:rsid w:val="009C706E"/>
    <w:rsid w:val="009D6A03"/>
    <w:rsid w:val="009D7103"/>
    <w:rsid w:val="009F0DDE"/>
    <w:rsid w:val="009F3DCA"/>
    <w:rsid w:val="00A00D2B"/>
    <w:rsid w:val="00A07143"/>
    <w:rsid w:val="00A25C13"/>
    <w:rsid w:val="00A51140"/>
    <w:rsid w:val="00A811BD"/>
    <w:rsid w:val="00A83501"/>
    <w:rsid w:val="00A96668"/>
    <w:rsid w:val="00AA6285"/>
    <w:rsid w:val="00AB68EB"/>
    <w:rsid w:val="00AC2A6C"/>
    <w:rsid w:val="00AC48F7"/>
    <w:rsid w:val="00AD157E"/>
    <w:rsid w:val="00AD4951"/>
    <w:rsid w:val="00AD5CEF"/>
    <w:rsid w:val="00AE5216"/>
    <w:rsid w:val="00AE755B"/>
    <w:rsid w:val="00AF4B04"/>
    <w:rsid w:val="00B21023"/>
    <w:rsid w:val="00B24D87"/>
    <w:rsid w:val="00B31D81"/>
    <w:rsid w:val="00B6440D"/>
    <w:rsid w:val="00B71771"/>
    <w:rsid w:val="00B91A02"/>
    <w:rsid w:val="00BA0D7F"/>
    <w:rsid w:val="00BA1036"/>
    <w:rsid w:val="00BA5DEC"/>
    <w:rsid w:val="00BC57D5"/>
    <w:rsid w:val="00BD4994"/>
    <w:rsid w:val="00C21771"/>
    <w:rsid w:val="00C341A5"/>
    <w:rsid w:val="00C3472D"/>
    <w:rsid w:val="00C35B38"/>
    <w:rsid w:val="00C35D84"/>
    <w:rsid w:val="00C536B5"/>
    <w:rsid w:val="00C53F43"/>
    <w:rsid w:val="00CC6DED"/>
    <w:rsid w:val="00CD6565"/>
    <w:rsid w:val="00CF2A0A"/>
    <w:rsid w:val="00D04815"/>
    <w:rsid w:val="00D40D6A"/>
    <w:rsid w:val="00D479DF"/>
    <w:rsid w:val="00D50D99"/>
    <w:rsid w:val="00D626BD"/>
    <w:rsid w:val="00D771D8"/>
    <w:rsid w:val="00DA0245"/>
    <w:rsid w:val="00DB4B6C"/>
    <w:rsid w:val="00DD7856"/>
    <w:rsid w:val="00E47B08"/>
    <w:rsid w:val="00E57270"/>
    <w:rsid w:val="00E63F69"/>
    <w:rsid w:val="00E65319"/>
    <w:rsid w:val="00E854D8"/>
    <w:rsid w:val="00E91A17"/>
    <w:rsid w:val="00E939E4"/>
    <w:rsid w:val="00EB2455"/>
    <w:rsid w:val="00EB35A3"/>
    <w:rsid w:val="00ED4B64"/>
    <w:rsid w:val="00ED5345"/>
    <w:rsid w:val="00EE6B7D"/>
    <w:rsid w:val="00EF0498"/>
    <w:rsid w:val="00F23208"/>
    <w:rsid w:val="00F2598F"/>
    <w:rsid w:val="00F47C87"/>
    <w:rsid w:val="00F536B0"/>
    <w:rsid w:val="00F569CC"/>
    <w:rsid w:val="00F760C7"/>
    <w:rsid w:val="00F856EE"/>
    <w:rsid w:val="00F97BAB"/>
    <w:rsid w:val="00FB3542"/>
    <w:rsid w:val="00FC134C"/>
    <w:rsid w:val="00FC761D"/>
    <w:rsid w:val="010134F4"/>
    <w:rsid w:val="01597B28"/>
    <w:rsid w:val="015A62E6"/>
    <w:rsid w:val="01A333F7"/>
    <w:rsid w:val="02293F32"/>
    <w:rsid w:val="02682EE5"/>
    <w:rsid w:val="02D57431"/>
    <w:rsid w:val="030F77D5"/>
    <w:rsid w:val="036D0653"/>
    <w:rsid w:val="0476553C"/>
    <w:rsid w:val="051C1F28"/>
    <w:rsid w:val="05BA3518"/>
    <w:rsid w:val="05DE177A"/>
    <w:rsid w:val="06D56AA5"/>
    <w:rsid w:val="0724031D"/>
    <w:rsid w:val="0A76354B"/>
    <w:rsid w:val="0BDB7D19"/>
    <w:rsid w:val="0C393789"/>
    <w:rsid w:val="0D272AE2"/>
    <w:rsid w:val="0D360CCD"/>
    <w:rsid w:val="0D7A1945"/>
    <w:rsid w:val="0D857C63"/>
    <w:rsid w:val="0E00550F"/>
    <w:rsid w:val="0E0E53F6"/>
    <w:rsid w:val="0E89465A"/>
    <w:rsid w:val="0EE5620B"/>
    <w:rsid w:val="104C4502"/>
    <w:rsid w:val="105373E7"/>
    <w:rsid w:val="11F95777"/>
    <w:rsid w:val="122C7D65"/>
    <w:rsid w:val="14E21050"/>
    <w:rsid w:val="1533190A"/>
    <w:rsid w:val="157A46F8"/>
    <w:rsid w:val="15A94E95"/>
    <w:rsid w:val="15CE7CFE"/>
    <w:rsid w:val="16861701"/>
    <w:rsid w:val="187B456A"/>
    <w:rsid w:val="188D78D8"/>
    <w:rsid w:val="18AD196C"/>
    <w:rsid w:val="1A0738C1"/>
    <w:rsid w:val="1A88406C"/>
    <w:rsid w:val="1B1E21D6"/>
    <w:rsid w:val="1B7209EF"/>
    <w:rsid w:val="1B822AFA"/>
    <w:rsid w:val="1BED200B"/>
    <w:rsid w:val="1C3A70D8"/>
    <w:rsid w:val="1E77365B"/>
    <w:rsid w:val="1F06438B"/>
    <w:rsid w:val="1F432A91"/>
    <w:rsid w:val="1F4B6EFB"/>
    <w:rsid w:val="1F4E7F97"/>
    <w:rsid w:val="203B6856"/>
    <w:rsid w:val="20C95BA7"/>
    <w:rsid w:val="20E17D82"/>
    <w:rsid w:val="214246A5"/>
    <w:rsid w:val="21DF5108"/>
    <w:rsid w:val="21FE0EF6"/>
    <w:rsid w:val="22A672E3"/>
    <w:rsid w:val="22A82926"/>
    <w:rsid w:val="22CC769A"/>
    <w:rsid w:val="231A0926"/>
    <w:rsid w:val="23CF05F8"/>
    <w:rsid w:val="23DB53DB"/>
    <w:rsid w:val="25726A8E"/>
    <w:rsid w:val="257F74A4"/>
    <w:rsid w:val="25C66112"/>
    <w:rsid w:val="26420BED"/>
    <w:rsid w:val="269C62F9"/>
    <w:rsid w:val="27467F03"/>
    <w:rsid w:val="278A3765"/>
    <w:rsid w:val="27C14029"/>
    <w:rsid w:val="27C21794"/>
    <w:rsid w:val="28145A7F"/>
    <w:rsid w:val="28A60531"/>
    <w:rsid w:val="28FB476D"/>
    <w:rsid w:val="29123AF2"/>
    <w:rsid w:val="294F212A"/>
    <w:rsid w:val="296074BF"/>
    <w:rsid w:val="29EF4F76"/>
    <w:rsid w:val="2A730893"/>
    <w:rsid w:val="2AE21A42"/>
    <w:rsid w:val="2BFB1451"/>
    <w:rsid w:val="2CBA7CA7"/>
    <w:rsid w:val="2D625D13"/>
    <w:rsid w:val="2DB17D6D"/>
    <w:rsid w:val="2E0724BF"/>
    <w:rsid w:val="2E22072A"/>
    <w:rsid w:val="2E422430"/>
    <w:rsid w:val="2F054DA1"/>
    <w:rsid w:val="2F5D0AF9"/>
    <w:rsid w:val="2F6C7C5E"/>
    <w:rsid w:val="30073FFD"/>
    <w:rsid w:val="31461D6E"/>
    <w:rsid w:val="340E3D9E"/>
    <w:rsid w:val="34794E14"/>
    <w:rsid w:val="367E0BEA"/>
    <w:rsid w:val="36C70AE1"/>
    <w:rsid w:val="371E5E5F"/>
    <w:rsid w:val="37AA70E2"/>
    <w:rsid w:val="37E63434"/>
    <w:rsid w:val="38AE50FC"/>
    <w:rsid w:val="395E4A95"/>
    <w:rsid w:val="3AFF66D9"/>
    <w:rsid w:val="3B2F2475"/>
    <w:rsid w:val="3B4957A9"/>
    <w:rsid w:val="3B67764E"/>
    <w:rsid w:val="3B842CD3"/>
    <w:rsid w:val="3BED477C"/>
    <w:rsid w:val="3D000F6A"/>
    <w:rsid w:val="3D207207"/>
    <w:rsid w:val="3D5943DA"/>
    <w:rsid w:val="3DCA6584"/>
    <w:rsid w:val="3E895925"/>
    <w:rsid w:val="3E9B7F63"/>
    <w:rsid w:val="3F0F1D82"/>
    <w:rsid w:val="4017750D"/>
    <w:rsid w:val="40900C3C"/>
    <w:rsid w:val="40BE4CA8"/>
    <w:rsid w:val="40DE3BFB"/>
    <w:rsid w:val="41382CD2"/>
    <w:rsid w:val="416764EF"/>
    <w:rsid w:val="41710899"/>
    <w:rsid w:val="41847E8F"/>
    <w:rsid w:val="42BA7C89"/>
    <w:rsid w:val="431B3765"/>
    <w:rsid w:val="433A1DD8"/>
    <w:rsid w:val="43984F9E"/>
    <w:rsid w:val="4461791F"/>
    <w:rsid w:val="44C575F9"/>
    <w:rsid w:val="450535EB"/>
    <w:rsid w:val="455456B6"/>
    <w:rsid w:val="46872864"/>
    <w:rsid w:val="469462AC"/>
    <w:rsid w:val="47C524F5"/>
    <w:rsid w:val="480510B4"/>
    <w:rsid w:val="48D4608A"/>
    <w:rsid w:val="48E229DF"/>
    <w:rsid w:val="48F378EC"/>
    <w:rsid w:val="49006C8C"/>
    <w:rsid w:val="49354564"/>
    <w:rsid w:val="4BC764A1"/>
    <w:rsid w:val="4C015D77"/>
    <w:rsid w:val="4C0A5D09"/>
    <w:rsid w:val="4C2E1018"/>
    <w:rsid w:val="4CCE1547"/>
    <w:rsid w:val="4D23395C"/>
    <w:rsid w:val="4D8A1300"/>
    <w:rsid w:val="4D94319C"/>
    <w:rsid w:val="4E197333"/>
    <w:rsid w:val="4F6E441D"/>
    <w:rsid w:val="4FBF464E"/>
    <w:rsid w:val="4FCE1991"/>
    <w:rsid w:val="4FE9167D"/>
    <w:rsid w:val="50394B5E"/>
    <w:rsid w:val="50914D06"/>
    <w:rsid w:val="51F729EA"/>
    <w:rsid w:val="525F0902"/>
    <w:rsid w:val="5311685C"/>
    <w:rsid w:val="55424D9D"/>
    <w:rsid w:val="55807FA4"/>
    <w:rsid w:val="5591135E"/>
    <w:rsid w:val="55D40452"/>
    <w:rsid w:val="56835CB9"/>
    <w:rsid w:val="56B16FA2"/>
    <w:rsid w:val="571D44C1"/>
    <w:rsid w:val="57A50E94"/>
    <w:rsid w:val="580972E7"/>
    <w:rsid w:val="580B2C5E"/>
    <w:rsid w:val="59736A5D"/>
    <w:rsid w:val="5A7D5483"/>
    <w:rsid w:val="5AA708CA"/>
    <w:rsid w:val="5B5560E4"/>
    <w:rsid w:val="5B726EED"/>
    <w:rsid w:val="5CE37E74"/>
    <w:rsid w:val="5D2C5670"/>
    <w:rsid w:val="5DB27B2D"/>
    <w:rsid w:val="5E0803C6"/>
    <w:rsid w:val="5EBC514F"/>
    <w:rsid w:val="5F182321"/>
    <w:rsid w:val="5F5A597A"/>
    <w:rsid w:val="5F710E1D"/>
    <w:rsid w:val="5FA5376F"/>
    <w:rsid w:val="602F23C9"/>
    <w:rsid w:val="60477F82"/>
    <w:rsid w:val="611E13F2"/>
    <w:rsid w:val="61DB5714"/>
    <w:rsid w:val="62CA1D01"/>
    <w:rsid w:val="62CE0BAF"/>
    <w:rsid w:val="63131805"/>
    <w:rsid w:val="64E10284"/>
    <w:rsid w:val="65603E45"/>
    <w:rsid w:val="657F6514"/>
    <w:rsid w:val="65F57374"/>
    <w:rsid w:val="6691361B"/>
    <w:rsid w:val="66E267FA"/>
    <w:rsid w:val="675464EA"/>
    <w:rsid w:val="68092EEA"/>
    <w:rsid w:val="682E63E7"/>
    <w:rsid w:val="68B772EB"/>
    <w:rsid w:val="69615C56"/>
    <w:rsid w:val="698D49C9"/>
    <w:rsid w:val="6A3556CF"/>
    <w:rsid w:val="6A705FAC"/>
    <w:rsid w:val="6B6308B3"/>
    <w:rsid w:val="6C34081F"/>
    <w:rsid w:val="6CD91EC5"/>
    <w:rsid w:val="6D561ED5"/>
    <w:rsid w:val="6D6C7846"/>
    <w:rsid w:val="6DCC314C"/>
    <w:rsid w:val="6E6F0172"/>
    <w:rsid w:val="71BB2536"/>
    <w:rsid w:val="71E44BEA"/>
    <w:rsid w:val="71F371CE"/>
    <w:rsid w:val="724A458E"/>
    <w:rsid w:val="72534FEE"/>
    <w:rsid w:val="72CC3862"/>
    <w:rsid w:val="736F0638"/>
    <w:rsid w:val="73CC5F32"/>
    <w:rsid w:val="746130B7"/>
    <w:rsid w:val="74A715D2"/>
    <w:rsid w:val="75352239"/>
    <w:rsid w:val="756A3A5B"/>
    <w:rsid w:val="76336AC1"/>
    <w:rsid w:val="76F9705C"/>
    <w:rsid w:val="771F0221"/>
    <w:rsid w:val="775D622B"/>
    <w:rsid w:val="7AB64EA0"/>
    <w:rsid w:val="7B0954CF"/>
    <w:rsid w:val="7B6C4002"/>
    <w:rsid w:val="7BD40338"/>
    <w:rsid w:val="7BD550A7"/>
    <w:rsid w:val="7BFD7E77"/>
    <w:rsid w:val="7D564F41"/>
    <w:rsid w:val="7DD70A11"/>
    <w:rsid w:val="7E104381"/>
    <w:rsid w:val="7E1E4B2A"/>
    <w:rsid w:val="7EB20D88"/>
    <w:rsid w:val="7EBA6C54"/>
    <w:rsid w:val="7F003427"/>
    <w:rsid w:val="7FE96E34"/>
    <w:rsid w:val="BD05B8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准正文"/>
    <w:qFormat/>
    <w:uiPriority w:val="0"/>
    <w:pPr>
      <w:widowControl w:val="0"/>
      <w:spacing w:line="580" w:lineRule="exact"/>
      <w:ind w:firstLine="420" w:firstLineChars="200"/>
      <w:jc w:val="both"/>
    </w:pPr>
    <w:rPr>
      <w:rFonts w:hint="eastAsia" w:ascii="Times New Roman" w:hAnsi="Times New Roman" w:eastAsia="仿宋_GB2312" w:cs="Times New Roman"/>
      <w:kern w:val="2"/>
      <w:sz w:val="32"/>
      <w:szCs w:val="22"/>
      <w:lang w:val="en-US" w:eastAsia="zh-CN" w:bidi="ar-SA"/>
    </w:rPr>
  </w:style>
  <w:style w:type="paragraph" w:styleId="3">
    <w:name w:val="annotation text"/>
    <w:basedOn w:val="1"/>
    <w:unhideWhenUsed/>
    <w:qFormat/>
    <w:uiPriority w:val="99"/>
    <w:pPr>
      <w:jc w:val="left"/>
    </w:pPr>
  </w:style>
  <w:style w:type="paragraph" w:styleId="4">
    <w:name w:val="Balloon Text"/>
    <w:basedOn w:val="1"/>
    <w:link w:val="10"/>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批注框文本 Char"/>
    <w:basedOn w:val="8"/>
    <w:link w:val="4"/>
    <w:semiHidden/>
    <w:qFormat/>
    <w:uiPriority w:val="99"/>
    <w:rPr>
      <w:rFonts w:ascii="Times New Roman" w:hAnsi="Times New Roman" w:eastAsia="宋体" w:cs="Times New Roman"/>
      <w:sz w:val="18"/>
      <w:szCs w:val="18"/>
    </w:rPr>
  </w:style>
  <w:style w:type="character" w:customStyle="1" w:styleId="11">
    <w:name w:val="页眉 Char"/>
    <w:basedOn w:val="8"/>
    <w:link w:val="6"/>
    <w:semiHidden/>
    <w:qFormat/>
    <w:uiPriority w:val="99"/>
    <w:rPr>
      <w:rFonts w:ascii="Times New Roman" w:hAnsi="Times New Roman" w:eastAsia="宋体" w:cs="Times New Roman"/>
      <w:sz w:val="18"/>
      <w:szCs w:val="18"/>
    </w:rPr>
  </w:style>
  <w:style w:type="character" w:customStyle="1" w:styleId="12">
    <w:name w:val="页脚 Char"/>
    <w:basedOn w:val="8"/>
    <w:link w:val="5"/>
    <w:semiHidden/>
    <w:qFormat/>
    <w:uiPriority w:val="99"/>
    <w:rPr>
      <w:rFonts w:ascii="Times New Roman" w:hAnsi="Times New Roman" w:eastAsia="宋体" w:cs="Times New Roman"/>
      <w:sz w:val="18"/>
      <w:szCs w:val="18"/>
    </w:rPr>
  </w:style>
  <w:style w:type="paragraph" w:customStyle="1" w:styleId="13">
    <w:name w:val="列出段落1"/>
    <w:basedOn w:val="1"/>
    <w:unhideWhenUsed/>
    <w:qFormat/>
    <w:uiPriority w:val="99"/>
    <w:pPr>
      <w:ind w:firstLine="420" w:firstLineChars="200"/>
    </w:p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2025-09-15T01:12:00Z</dcterms:created>
  <dc:creator>叶小鸿:排版</dc:creator>
  <cp:lastModifiedBy>卢辽原</cp:lastModifiedBy>
  <dcterms:modified xsi:type="dcterms:W3CDTF">2025-09-17T07:36:33Z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08780A4CDB51430CB889E6E0BD3E4CD1</vt:lpwstr>
  </property>
</Properties>
</file>