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60" w:lineRule="exact"/>
        <w:jc w:val="center"/>
        <w:rPr>
          <w:rFonts w:hint="eastAsia" w:ascii="方正小标宋_GBK" w:hAnsi="方正小标宋_GBK" w:eastAsia="方正小标宋_GBK" w:cs="方正小标宋_GBK"/>
          <w:color w:val="auto"/>
          <w:kern w:val="44"/>
          <w:sz w:val="40"/>
          <w:szCs w:val="40"/>
        </w:rPr>
      </w:pPr>
      <w:bookmarkStart w:id="0" w:name="_GoBack"/>
      <w:r>
        <w:rPr>
          <w:rFonts w:hint="eastAsia" w:ascii="方正小标宋_GBK" w:hAnsi="方正小标宋_GBK" w:eastAsia="方正小标宋_GBK" w:cs="方正小标宋_GBK"/>
          <w:color w:val="auto"/>
          <w:kern w:val="44"/>
          <w:sz w:val="40"/>
          <w:szCs w:val="40"/>
        </w:rPr>
        <w:t>中国人民银行</w:t>
      </w:r>
      <w:r>
        <w:rPr>
          <w:rFonts w:hint="eastAsia" w:ascii="方正小标宋_GBK" w:hAnsi="方正小标宋_GBK" w:eastAsia="方正小标宋_GBK" w:cs="方正小标宋_GBK"/>
          <w:color w:val="auto"/>
          <w:kern w:val="44"/>
          <w:sz w:val="40"/>
          <w:szCs w:val="40"/>
          <w:lang w:eastAsia="zh-CN"/>
        </w:rPr>
        <w:t>宁德市分</w:t>
      </w:r>
      <w:r>
        <w:rPr>
          <w:rFonts w:hint="eastAsia" w:ascii="方正小标宋_GBK" w:hAnsi="方正小标宋_GBK" w:eastAsia="方正小标宋_GBK" w:cs="方正小标宋_GBK"/>
          <w:color w:val="auto"/>
          <w:kern w:val="44"/>
          <w:sz w:val="40"/>
          <w:szCs w:val="40"/>
        </w:rPr>
        <w:t>行202</w:t>
      </w:r>
      <w:r>
        <w:rPr>
          <w:rFonts w:hint="eastAsia" w:ascii="方正小标宋_GBK" w:hAnsi="方正小标宋_GBK" w:eastAsia="方正小标宋_GBK" w:cs="方正小标宋_GBK"/>
          <w:color w:val="auto"/>
          <w:kern w:val="44"/>
          <w:sz w:val="40"/>
          <w:szCs w:val="40"/>
          <w:lang w:val="en-US" w:eastAsia="zh-CN"/>
        </w:rPr>
        <w:t>4</w:t>
      </w:r>
      <w:r>
        <w:rPr>
          <w:rFonts w:hint="eastAsia" w:ascii="方正小标宋_GBK" w:hAnsi="方正小标宋_GBK" w:eastAsia="方正小标宋_GBK" w:cs="方正小标宋_GBK"/>
          <w:color w:val="auto"/>
          <w:kern w:val="44"/>
          <w:sz w:val="40"/>
          <w:szCs w:val="40"/>
        </w:rPr>
        <w:t>年度</w:t>
      </w:r>
    </w:p>
    <w:p>
      <w:pPr>
        <w:adjustRightInd w:val="0"/>
        <w:snapToGrid w:val="0"/>
        <w:spacing w:beforeLines="0" w:afterLines="0" w:line="240" w:lineRule="auto"/>
        <w:jc w:val="center"/>
        <w:rPr>
          <w:rFonts w:hint="eastAsia" w:ascii="方正小标宋_GBK" w:hAnsi="方正小标宋_GBK" w:eastAsia="方正小标宋_GBK" w:cs="方正小标宋_GBK"/>
          <w:color w:val="auto"/>
          <w:kern w:val="44"/>
          <w:sz w:val="40"/>
          <w:szCs w:val="40"/>
        </w:rPr>
      </w:pPr>
      <w:r>
        <w:rPr>
          <w:rFonts w:hint="eastAsia" w:ascii="方正小标宋_GBK" w:hAnsi="方正小标宋_GBK" w:eastAsia="方正小标宋_GBK" w:cs="方正小标宋_GBK"/>
          <w:color w:val="auto"/>
          <w:kern w:val="44"/>
          <w:sz w:val="40"/>
          <w:szCs w:val="40"/>
        </w:rPr>
        <w:t>政府信息公开工作报告</w:t>
      </w:r>
    </w:p>
    <w:p>
      <w:pPr>
        <w:spacing w:line="560" w:lineRule="exact"/>
        <w:ind w:firstLine="640" w:firstLineChars="200"/>
        <w:rPr>
          <w:rFonts w:eastAsia="黑体"/>
          <w:color w:val="auto"/>
          <w:sz w:val="32"/>
        </w:rPr>
      </w:pPr>
    </w:p>
    <w:p>
      <w:pPr>
        <w:pStyle w:val="5"/>
        <w:widowControl/>
        <w:pBdr>
          <w:top w:val="none" w:color="auto" w:sz="0" w:space="0"/>
          <w:left w:val="none" w:color="auto" w:sz="0" w:space="0"/>
          <w:bottom w:val="none" w:color="auto" w:sz="0" w:space="0"/>
          <w:right w:val="none" w:color="auto" w:sz="0" w:space="0"/>
        </w:pBdr>
        <w:shd w:val="clear" w:color="auto" w:fill="FFFFFF"/>
        <w:tabs>
          <w:tab w:val="left" w:pos="3148"/>
        </w:tabs>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color="auto" w:fill="FFFFFF"/>
        </w:rPr>
        <w:t>一、总体情况</w:t>
      </w:r>
      <w:r>
        <w:rPr>
          <w:rFonts w:hint="default" w:ascii="黑体" w:hAnsi="黑体" w:eastAsia="黑体" w:cs="黑体"/>
          <w:b w:val="0"/>
          <w:bCs/>
          <w:i w:val="0"/>
          <w:caps w:val="0"/>
          <w:color w:val="auto"/>
          <w:spacing w:val="0"/>
          <w:sz w:val="32"/>
          <w:szCs w:val="32"/>
          <w:shd w:val="clear" w:color="auto" w:fill="FFFFFF"/>
        </w:rPr>
        <w:tab/>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黑体"/>
          <w:b w:val="0"/>
          <w:bCs/>
          <w:i w:val="0"/>
          <w:caps w:val="0"/>
          <w:color w:val="auto"/>
          <w:spacing w:val="0"/>
          <w:sz w:val="32"/>
          <w:szCs w:val="32"/>
          <w:shd w:val="clear" w:color="auto" w:fill="FFFFFF"/>
          <w:lang w:eastAsia="zh-CN"/>
        </w:rPr>
      </w:pPr>
      <w:r>
        <w:rPr>
          <w:rFonts w:hint="eastAsia" w:ascii="仿宋_GB2312" w:hAnsi="仿宋_GB2312" w:eastAsia="仿宋_GB2312" w:cs="黑体"/>
          <w:b w:val="0"/>
          <w:bCs/>
          <w:i w:val="0"/>
          <w:caps w:val="0"/>
          <w:color w:val="auto"/>
          <w:spacing w:val="0"/>
          <w:sz w:val="32"/>
          <w:szCs w:val="32"/>
          <w:shd w:val="clear" w:color="auto" w:fill="FFFFFF"/>
          <w:lang w:eastAsia="zh-CN"/>
        </w:rPr>
        <w:t>2024年，中国人民银行宁德市分行（以下简称宁德市分行）严格贯彻落实《中华人民共和国政府信息公开条例》要求，扎实推进政务公开各项工作，不断规范政府信息公开内容，以强化监督保障机制为重点，加强政府信息管理，切实保障公众知情权、参与权和监督权，有效提升基层央行政务信息透明度和社会公信力。</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黑体"/>
          <w:b w:val="0"/>
          <w:bCs/>
          <w:i w:val="0"/>
          <w:caps w:val="0"/>
          <w:color w:val="auto"/>
          <w:spacing w:val="0"/>
          <w:sz w:val="32"/>
          <w:szCs w:val="32"/>
          <w:shd w:val="clear" w:color="auto" w:fill="FFFFFF"/>
          <w:lang w:eastAsia="zh-CN"/>
        </w:rPr>
      </w:pPr>
      <w:r>
        <w:rPr>
          <w:rFonts w:hint="eastAsia" w:ascii="楷体_GB2312" w:hAnsi="楷体_GB2312" w:eastAsia="楷体_GB2312" w:cs="楷体_GB2312"/>
          <w:b w:val="0"/>
          <w:bCs w:val="0"/>
          <w:i w:val="0"/>
          <w:caps w:val="0"/>
          <w:color w:val="auto"/>
          <w:spacing w:val="0"/>
          <w:kern w:val="2"/>
          <w:sz w:val="32"/>
          <w:szCs w:val="32"/>
          <w:shd w:val="clear" w:color="auto" w:fill="auto"/>
          <w:lang w:eastAsia="zh-CN"/>
        </w:rPr>
        <w:t>（一）主动公开</w:t>
      </w:r>
      <w:r>
        <w:rPr>
          <w:rFonts w:hint="eastAsia" w:ascii="楷体_GB2312" w:hAnsi="楷体_GB2312" w:eastAsia="楷体_GB2312" w:cs="楷体_GB2312"/>
          <w:b w:val="0"/>
          <w:bCs w:val="0"/>
          <w:i w:val="0"/>
          <w:caps w:val="0"/>
          <w:spacing w:val="0"/>
          <w:kern w:val="2"/>
          <w:sz w:val="32"/>
          <w:szCs w:val="32"/>
          <w:shd w:val="clear"/>
          <w:lang w:eastAsia="zh-CN"/>
        </w:rPr>
        <w:t>情况。</w:t>
      </w:r>
      <w:r>
        <w:rPr>
          <w:rFonts w:hint="eastAsia" w:ascii="仿宋_GB2312" w:hAnsi="仿宋_GB2312" w:eastAsia="仿宋_GB2312" w:cs="黑体"/>
          <w:b w:val="0"/>
          <w:bCs/>
          <w:i w:val="0"/>
          <w:caps w:val="0"/>
          <w:color w:val="auto"/>
          <w:spacing w:val="0"/>
          <w:sz w:val="32"/>
          <w:szCs w:val="32"/>
          <w:shd w:val="clear" w:color="auto" w:fill="FFFFFF"/>
          <w:lang w:eastAsia="zh-CN"/>
        </w:rPr>
        <w:t>宁德市分行坚持“公开为常态、不公开为例外”的原则，认真做好行政执法信息公示工作，及时通过福建省分行互联网子网站主动公开行政许可、行政处罚等信息，确保执法依据、程序、结果全程透明。积极推进“事前+事后”政府采购信息公开，事前在“中央政府采购网”主动上传政府集中采购意向，事后在年报中公开实际集中采购笔数和金额，2024年，宁德市分行公开集中采购项目8个，采购金额共计2161549元。</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黑体"/>
          <w:b w:val="0"/>
          <w:bCs/>
          <w:i w:val="0"/>
          <w:caps w:val="0"/>
          <w:color w:val="auto"/>
          <w:spacing w:val="0"/>
          <w:sz w:val="32"/>
          <w:szCs w:val="32"/>
          <w:shd w:val="clear" w:color="auto" w:fill="FFFFFF"/>
          <w:lang w:eastAsia="zh-CN"/>
        </w:rPr>
      </w:pPr>
      <w:r>
        <w:rPr>
          <w:rFonts w:hint="eastAsia" w:ascii="楷体_GB2312" w:hAnsi="楷体_GB2312" w:eastAsia="楷体_GB2312" w:cs="楷体_GB2312"/>
          <w:b w:val="0"/>
          <w:bCs w:val="0"/>
          <w:i w:val="0"/>
          <w:caps w:val="0"/>
          <w:color w:val="auto"/>
          <w:spacing w:val="0"/>
          <w:kern w:val="2"/>
          <w:sz w:val="32"/>
          <w:szCs w:val="32"/>
          <w:shd w:val="clear" w:color="auto" w:fill="auto"/>
          <w:lang w:eastAsia="zh-CN"/>
        </w:rPr>
        <w:t>（二）依申请公开</w:t>
      </w:r>
      <w:r>
        <w:rPr>
          <w:rFonts w:hint="eastAsia" w:ascii="楷体_GB2312" w:hAnsi="楷体_GB2312" w:eastAsia="楷体_GB2312" w:cs="楷体_GB2312"/>
          <w:b w:val="0"/>
          <w:bCs w:val="0"/>
          <w:i w:val="0"/>
          <w:caps w:val="0"/>
          <w:spacing w:val="0"/>
          <w:kern w:val="2"/>
          <w:sz w:val="32"/>
          <w:szCs w:val="32"/>
          <w:shd w:val="clear"/>
          <w:lang w:eastAsia="zh-CN"/>
        </w:rPr>
        <w:t>情况。</w:t>
      </w:r>
      <w:r>
        <w:rPr>
          <w:rFonts w:hint="eastAsia" w:ascii="仿宋_GB2312" w:hAnsi="仿宋_GB2312" w:eastAsia="仿宋_GB2312" w:cs="黑体"/>
          <w:b w:val="0"/>
          <w:bCs/>
          <w:i w:val="0"/>
          <w:caps w:val="0"/>
          <w:color w:val="auto"/>
          <w:spacing w:val="0"/>
          <w:sz w:val="32"/>
          <w:szCs w:val="32"/>
          <w:shd w:val="clear" w:color="auto" w:fill="FFFFFF"/>
          <w:lang w:eastAsia="zh-CN"/>
        </w:rPr>
        <w:t>2024年未收到依申请公开事宜。</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黑体"/>
          <w:b w:val="0"/>
          <w:bCs/>
          <w:i w:val="0"/>
          <w:caps w:val="0"/>
          <w:color w:val="auto"/>
          <w:spacing w:val="0"/>
          <w:sz w:val="32"/>
          <w:szCs w:val="32"/>
          <w:shd w:val="clear" w:color="auto" w:fill="FFFFFF"/>
          <w:lang w:eastAsia="zh-CN"/>
        </w:rPr>
      </w:pPr>
      <w:r>
        <w:rPr>
          <w:rFonts w:hint="eastAsia" w:ascii="楷体_GB2312" w:hAnsi="楷体_GB2312" w:eastAsia="楷体_GB2312" w:cs="楷体_GB2312"/>
          <w:b w:val="0"/>
          <w:bCs w:val="0"/>
          <w:i w:val="0"/>
          <w:caps w:val="0"/>
          <w:color w:val="auto"/>
          <w:spacing w:val="0"/>
          <w:kern w:val="2"/>
          <w:sz w:val="32"/>
          <w:szCs w:val="32"/>
          <w:shd w:val="clear" w:color="auto" w:fill="auto"/>
          <w:lang w:eastAsia="zh-CN"/>
        </w:rPr>
        <w:t>（三）政府信息管理</w:t>
      </w:r>
      <w:r>
        <w:rPr>
          <w:rFonts w:hint="eastAsia" w:ascii="楷体_GB2312" w:hAnsi="楷体_GB2312" w:eastAsia="楷体_GB2312" w:cs="楷体_GB2312"/>
          <w:b w:val="0"/>
          <w:bCs w:val="0"/>
          <w:i w:val="0"/>
          <w:caps w:val="0"/>
          <w:spacing w:val="0"/>
          <w:kern w:val="2"/>
          <w:sz w:val="32"/>
          <w:szCs w:val="32"/>
          <w:shd w:val="clear"/>
          <w:lang w:eastAsia="zh-CN"/>
        </w:rPr>
        <w:t>情况。</w:t>
      </w:r>
      <w:r>
        <w:rPr>
          <w:rFonts w:hint="eastAsia" w:ascii="仿宋_GB2312" w:hAnsi="仿宋_GB2312" w:eastAsia="仿宋_GB2312" w:cs="黑体"/>
          <w:b w:val="0"/>
          <w:bCs/>
          <w:i w:val="0"/>
          <w:caps w:val="0"/>
          <w:color w:val="auto"/>
          <w:spacing w:val="0"/>
          <w:sz w:val="32"/>
          <w:szCs w:val="32"/>
          <w:shd w:val="clear" w:color="auto" w:fill="FFFFFF"/>
          <w:lang w:eastAsia="zh-CN"/>
        </w:rPr>
        <w:t>严格按照《中华人民共和国政府信息公开条例》及上级部门关于规范性文件管理的相关要求，持续规范文件制发流程，强化文件清理和动态管理。2024年，宁德市分行未制发新的规范性文件，现行有效的规范性文件数量为0件。认真落实信息公开审核制度，严格执行“先审查、后公开”流程，确保公开信息的安全性、准确性和合法性，全年未发生信息泄露事件，切实保障了政府信息公开工作安全规范。</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黑体"/>
          <w:b w:val="0"/>
          <w:bCs/>
          <w:i w:val="0"/>
          <w:caps w:val="0"/>
          <w:color w:val="auto"/>
          <w:spacing w:val="0"/>
          <w:sz w:val="32"/>
          <w:szCs w:val="32"/>
          <w:shd w:val="clear" w:color="auto" w:fill="FFFFFF"/>
          <w:lang w:eastAsia="zh-CN"/>
        </w:rPr>
      </w:pPr>
      <w:r>
        <w:rPr>
          <w:rFonts w:hint="eastAsia" w:ascii="楷体_GB2312" w:hAnsi="楷体_GB2312" w:eastAsia="楷体_GB2312" w:cs="楷体_GB2312"/>
          <w:b w:val="0"/>
          <w:bCs w:val="0"/>
          <w:i w:val="0"/>
          <w:caps w:val="0"/>
          <w:color w:val="auto"/>
          <w:spacing w:val="0"/>
          <w:kern w:val="2"/>
          <w:sz w:val="32"/>
          <w:szCs w:val="32"/>
          <w:shd w:val="clear" w:color="auto" w:fill="auto"/>
          <w:lang w:eastAsia="zh-CN"/>
        </w:rPr>
        <w:t>（四）政府信息公开平台建设</w:t>
      </w:r>
      <w:r>
        <w:rPr>
          <w:rFonts w:hint="eastAsia" w:ascii="楷体_GB2312" w:hAnsi="楷体_GB2312" w:eastAsia="楷体_GB2312" w:cs="楷体_GB2312"/>
          <w:b w:val="0"/>
          <w:bCs w:val="0"/>
          <w:i w:val="0"/>
          <w:caps w:val="0"/>
          <w:spacing w:val="0"/>
          <w:kern w:val="2"/>
          <w:sz w:val="32"/>
          <w:szCs w:val="32"/>
          <w:shd w:val="clear"/>
          <w:lang w:eastAsia="zh-CN"/>
        </w:rPr>
        <w:t>情况。</w:t>
      </w:r>
      <w:r>
        <w:rPr>
          <w:rFonts w:hint="eastAsia" w:ascii="仿宋_GB2312" w:hAnsi="仿宋_GB2312" w:eastAsia="仿宋_GB2312" w:cs="黑体"/>
          <w:b w:val="0"/>
          <w:bCs/>
          <w:i w:val="0"/>
          <w:caps w:val="0"/>
          <w:color w:val="auto"/>
          <w:spacing w:val="0"/>
          <w:sz w:val="32"/>
          <w:szCs w:val="32"/>
          <w:shd w:val="clear" w:color="auto" w:fill="FFFFFF"/>
          <w:lang w:eastAsia="zh-CN"/>
        </w:rPr>
        <w:t>目前，宁德市分行尚未搭建独立的政府信息公开网站平台，行政许可信息、行政处罚信息以及规范性文件等通过福建省分行互联网子网站相关栏目面向社会进行公布。</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Lines="0" w:beforeAutospacing="0" w:afterLines="0" w:afterAutospacing="0" w:line="560" w:lineRule="exact"/>
        <w:ind w:left="0" w:leftChars="0" w:right="0" w:firstLine="640" w:firstLineChars="200"/>
        <w:jc w:val="both"/>
        <w:textAlignment w:val="auto"/>
        <w:outlineLvl w:val="9"/>
        <w:rPr>
          <w:rFonts w:hint="eastAsia" w:ascii="仿宋_GB2312" w:hAnsi="仿宋_GB2312" w:eastAsia="仿宋_GB2312" w:cs="黑体"/>
          <w:b w:val="0"/>
          <w:bCs/>
          <w:i w:val="0"/>
          <w:caps w:val="0"/>
          <w:color w:val="auto"/>
          <w:spacing w:val="0"/>
          <w:sz w:val="32"/>
          <w:szCs w:val="32"/>
          <w:shd w:val="clear" w:color="auto" w:fill="FFFFFF"/>
          <w:lang w:eastAsia="zh-CN"/>
        </w:rPr>
      </w:pPr>
      <w:r>
        <w:rPr>
          <w:rFonts w:hint="eastAsia" w:ascii="楷体_GB2312" w:hAnsi="楷体_GB2312" w:eastAsia="楷体_GB2312" w:cs="楷体_GB2312"/>
          <w:b w:val="0"/>
          <w:bCs w:val="0"/>
          <w:i w:val="0"/>
          <w:caps w:val="0"/>
          <w:color w:val="auto"/>
          <w:spacing w:val="0"/>
          <w:kern w:val="2"/>
          <w:sz w:val="32"/>
          <w:szCs w:val="32"/>
          <w:shd w:val="clear" w:color="auto" w:fill="auto"/>
          <w:lang w:eastAsia="zh-CN"/>
        </w:rPr>
        <w:t>（五）监督保障</w:t>
      </w:r>
      <w:r>
        <w:rPr>
          <w:rFonts w:hint="eastAsia" w:ascii="楷体_GB2312" w:hAnsi="楷体_GB2312" w:eastAsia="楷体_GB2312" w:cs="楷体_GB2312"/>
          <w:b w:val="0"/>
          <w:bCs w:val="0"/>
          <w:i w:val="0"/>
          <w:caps w:val="0"/>
          <w:spacing w:val="0"/>
          <w:kern w:val="2"/>
          <w:sz w:val="32"/>
          <w:szCs w:val="32"/>
          <w:shd w:val="clear"/>
          <w:lang w:eastAsia="zh-CN"/>
        </w:rPr>
        <w:t>情况。</w:t>
      </w:r>
      <w:r>
        <w:rPr>
          <w:rFonts w:hint="eastAsia" w:ascii="仿宋_GB2312" w:hAnsi="仿宋_GB2312" w:eastAsia="仿宋_GB2312" w:cs="黑体"/>
          <w:b w:val="0"/>
          <w:bCs/>
          <w:i w:val="0"/>
          <w:caps w:val="0"/>
          <w:color w:val="auto"/>
          <w:spacing w:val="0"/>
          <w:sz w:val="32"/>
          <w:szCs w:val="32"/>
          <w:shd w:val="clear" w:color="auto" w:fill="FFFFFF"/>
          <w:lang w:eastAsia="zh-CN"/>
        </w:rPr>
        <w:t>充分发挥政务公开领导小组统筹协调作用，明确由主要领导牵头部署、分管领导具体落实、各部门协同配合的工作体系。安排专人专职负责政务公开工作，明确岗位职责，规范信息发布流程，</w:t>
      </w:r>
      <w:r>
        <w:rPr>
          <w:rFonts w:hint="default" w:ascii="仿宋_GB2312" w:hAnsi="仿宋_GB2312" w:eastAsia="仿宋_GB2312" w:cs="仿宋_GB2312"/>
          <w:b w:val="0"/>
          <w:bCs w:val="0"/>
          <w:color w:val="auto"/>
          <w:sz w:val="32"/>
          <w:szCs w:val="32"/>
          <w:lang w:val="en-US" w:eastAsia="zh-CN"/>
        </w:rPr>
        <w:t>进一步</w:t>
      </w:r>
      <w:r>
        <w:rPr>
          <w:rFonts w:hint="eastAsia" w:ascii="仿宋_GB2312" w:hAnsi="仿宋_GB2312" w:eastAsia="仿宋_GB2312" w:cs="仿宋_GB2312"/>
          <w:b w:val="0"/>
          <w:bCs w:val="0"/>
          <w:color w:val="auto"/>
          <w:sz w:val="32"/>
          <w:szCs w:val="32"/>
          <w:lang w:val="en-US" w:eastAsia="zh-CN"/>
        </w:rPr>
        <w:t>做好</w:t>
      </w:r>
      <w:r>
        <w:rPr>
          <w:rFonts w:hint="default" w:ascii="仿宋_GB2312" w:hAnsi="仿宋_GB2312" w:eastAsia="仿宋_GB2312" w:cs="仿宋_GB2312"/>
          <w:b w:val="0"/>
          <w:bCs w:val="0"/>
          <w:color w:val="auto"/>
          <w:sz w:val="32"/>
          <w:szCs w:val="32"/>
          <w:lang w:val="en-US" w:eastAsia="zh-CN"/>
        </w:rPr>
        <w:t>政务公开工作。</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600" w:lineRule="exact"/>
        <w:ind w:left="0" w:leftChars="0" w:right="0" w:firstLine="640" w:firstLineChars="200"/>
        <w:jc w:val="both"/>
        <w:textAlignment w:val="auto"/>
        <w:outlineLvl w:val="9"/>
        <w:rPr>
          <w:rFonts w:hint="eastAsia" w:ascii="黑体" w:hAnsi="黑体" w:eastAsia="黑体" w:cs="黑体"/>
          <w:b w:val="0"/>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rPr>
        <w:t>二、主动公开政府信息情况</w:t>
      </w:r>
    </w:p>
    <w:tbl>
      <w:tblPr>
        <w:tblStyle w:val="6"/>
        <w:tblpPr w:leftFromText="180" w:rightFromText="180" w:vertAnchor="text" w:horzAnchor="page" w:tblpX="1396" w:tblpY="232"/>
        <w:tblOverlap w:val="never"/>
        <w:tblW w:w="9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68"/>
        <w:gridCol w:w="2356"/>
        <w:gridCol w:w="2356"/>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08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2468"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信息内容</w:t>
            </w:r>
          </w:p>
        </w:tc>
        <w:tc>
          <w:tcPr>
            <w:tcW w:w="2356"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本年</w:t>
            </w:r>
            <w:r>
              <w:rPr>
                <w:rFonts w:hint="eastAsia" w:ascii="仿宋_GB2312" w:hAnsi="仿宋_GB2312" w:eastAsia="仿宋_GB2312" w:cs="仿宋_GB2312"/>
                <w:kern w:val="0"/>
                <w:sz w:val="20"/>
                <w:szCs w:val="20"/>
                <w:lang w:val="en-US" w:eastAsia="zh-CN"/>
              </w:rPr>
              <w:t>制发件数</w:t>
            </w:r>
          </w:p>
        </w:tc>
        <w:tc>
          <w:tcPr>
            <w:tcW w:w="2356"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本年废止件数</w:t>
            </w:r>
          </w:p>
        </w:tc>
        <w:tc>
          <w:tcPr>
            <w:tcW w:w="1900"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现行有效件</w:t>
            </w:r>
            <w:r>
              <w:rPr>
                <w:rFonts w:hint="eastAsia" w:ascii="仿宋_GB2312" w:hAnsi="仿宋_GB2312" w:eastAsia="仿宋_GB2312" w:cs="仿宋_GB2312"/>
                <w:kern w:val="0"/>
                <w:sz w:val="20"/>
                <w:szCs w:val="20"/>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468"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规章</w:t>
            </w:r>
          </w:p>
        </w:tc>
        <w:tc>
          <w:tcPr>
            <w:tcW w:w="2356"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2356"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1900"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2468"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行政规范性文件</w:t>
            </w:r>
          </w:p>
        </w:tc>
        <w:tc>
          <w:tcPr>
            <w:tcW w:w="2356"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2356"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1900"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08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2468"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信息内容</w:t>
            </w:r>
          </w:p>
        </w:tc>
        <w:tc>
          <w:tcPr>
            <w:tcW w:w="6612"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 xml:space="preserve">                 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2468"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行政许可</w:t>
            </w:r>
          </w:p>
        </w:tc>
        <w:tc>
          <w:tcPr>
            <w:tcW w:w="6612"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both"/>
              <w:rPr>
                <w:rFonts w:hint="eastAsia" w:ascii="仿宋_GB2312" w:hAnsi="仿宋_GB2312" w:eastAsia="仿宋_GB2312" w:cs="仿宋_GB2312"/>
                <w:sz w:val="20"/>
                <w:szCs w:val="20"/>
              </w:rPr>
            </w:pPr>
            <w:r>
              <w:rPr>
                <w:rFonts w:hint="default" w:ascii="Times New Roman" w:hAnsi="Times New Roman" w:eastAsia="仿宋_GB2312" w:cs="Times New Roman"/>
                <w:kern w:val="0"/>
                <w:sz w:val="20"/>
                <w:szCs w:val="20"/>
                <w:lang w:val="en-US" w:eastAsia="zh-CN"/>
              </w:rPr>
              <w:t> </w:t>
            </w:r>
            <w:r>
              <w:rPr>
                <w:rFonts w:hint="eastAsia" w:ascii="Times New Roman" w:hAnsi="Times New Roman" w:eastAsia="仿宋_GB2312" w:cs="Times New Roman"/>
                <w:kern w:val="0"/>
                <w:sz w:val="20"/>
                <w:szCs w:val="20"/>
                <w:lang w:val="en-US" w:eastAsia="zh-CN"/>
              </w:rPr>
              <w:t xml:space="preserve">                   </w:t>
            </w:r>
            <w:r>
              <w:rPr>
                <w:rFonts w:hint="eastAsia" w:ascii="仿宋_GB2312" w:hAnsi="仿宋_GB2312" w:eastAsia="仿宋_GB2312" w:cs="仿宋_GB2312"/>
                <w:kern w:val="0"/>
                <w:sz w:val="20"/>
                <w:szCs w:val="20"/>
                <w:lang w:val="en-US" w:eastAsia="zh-CN"/>
              </w:rPr>
              <w:t xml:space="preserve"> </w:t>
            </w:r>
            <w:r>
              <w:rPr>
                <w:rFonts w:hint="default" w:ascii="Times New Roman" w:hAnsi="Times New Roman" w:eastAsia="仿宋_GB2312" w:cs="Times New Roman"/>
                <w:kern w:val="0"/>
                <w:sz w:val="20"/>
                <w:szCs w:val="20"/>
                <w:lang w:val="en-US" w:eastAsia="zh-CN"/>
              </w:rPr>
              <w:t xml:space="preserve"> 4058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08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2468"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信息内容</w:t>
            </w:r>
          </w:p>
        </w:tc>
        <w:tc>
          <w:tcPr>
            <w:tcW w:w="6612"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both"/>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 xml:space="preserve">                 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246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行政处罚</w:t>
            </w:r>
          </w:p>
        </w:tc>
        <w:tc>
          <w:tcPr>
            <w:tcW w:w="6612" w:type="dxa"/>
            <w:gridSpan w:val="3"/>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both"/>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kern w:val="0"/>
                <w:sz w:val="20"/>
                <w:szCs w:val="20"/>
                <w:lang w:val="en-US" w:eastAsia="zh-CN"/>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246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行政强制</w:t>
            </w:r>
          </w:p>
        </w:tc>
        <w:tc>
          <w:tcPr>
            <w:tcW w:w="6612" w:type="dxa"/>
            <w:gridSpan w:val="3"/>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both"/>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kern w:val="0"/>
                <w:sz w:val="20"/>
                <w:szCs w:val="20"/>
                <w:lang w:val="en-US" w:eastAsia="zh-CN"/>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08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246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信息内容</w:t>
            </w:r>
          </w:p>
        </w:tc>
        <w:tc>
          <w:tcPr>
            <w:tcW w:w="6612" w:type="dxa"/>
            <w:gridSpan w:val="3"/>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 xml:space="preserve">                 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46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行政事业性收费</w:t>
            </w:r>
          </w:p>
        </w:tc>
        <w:tc>
          <w:tcPr>
            <w:tcW w:w="6612" w:type="dxa"/>
            <w:gridSpan w:val="3"/>
            <w:tcBorders>
              <w:top w:val="single" w:color="auto" w:sz="8" w:space="0"/>
              <w:left w:val="single" w:color="auto" w:sz="8" w:space="0"/>
              <w:bottom w:val="single" w:color="auto" w:sz="8" w:space="0"/>
              <w:right w:val="single" w:color="auto" w:sz="8" w:space="0"/>
            </w:tcBorders>
            <w:tcMar>
              <w:left w:w="57" w:type="dxa"/>
              <w:right w:w="57" w:type="dxa"/>
            </w:tcMar>
            <w:vAlign w:val="center"/>
          </w:tcPr>
          <w:p>
            <w:pPr>
              <w:ind w:left="0" w:leftChars="0" w:right="0" w:firstLine="0" w:firstLineChars="0"/>
              <w:jc w:val="left"/>
              <w:rPr>
                <w:rFonts w:hint="eastAsia" w:ascii="仿宋_GB2312" w:hAnsi="仿宋_GB2312" w:eastAsia="仿宋_GB2312" w:cs="仿宋_GB2312"/>
                <w:sz w:val="20"/>
                <w:szCs w:val="20"/>
                <w:lang w:val="en-US" w:eastAsia="zh-CN"/>
              </w:rPr>
            </w:pPr>
            <w:r>
              <w:rPr>
                <w:rFonts w:hint="eastAsia" w:ascii="Times New Roman" w:hAnsi="Times New Roman" w:eastAsia="仿宋_GB2312" w:cs="Times New Roman"/>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lang w:val="en-US" w:eastAsia="zh-CN"/>
              </w:rPr>
              <w:t xml:space="preserve"> 0</w:t>
            </w:r>
          </w:p>
        </w:tc>
      </w:tr>
    </w:tbl>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600" w:lineRule="exact"/>
        <w:ind w:right="0"/>
        <w:jc w:val="both"/>
        <w:textAlignment w:val="auto"/>
        <w:outlineLvl w:val="9"/>
        <w:rPr>
          <w:rFonts w:hint="eastAsia" w:ascii="黑体" w:hAnsi="黑体" w:eastAsia="黑体" w:cs="黑体"/>
          <w:b w:val="0"/>
          <w:bCs/>
          <w:i w:val="0"/>
          <w:caps w:val="0"/>
          <w:color w:val="333333"/>
          <w:spacing w:val="0"/>
          <w:sz w:val="32"/>
          <w:szCs w:val="32"/>
          <w:shd w:val="clear" w:color="auto" w:fill="FFFFFF"/>
          <w:lang w:val="en-US" w:eastAsia="zh-CN"/>
        </w:rPr>
      </w:pPr>
      <w:r>
        <w:rPr>
          <w:rFonts w:hint="eastAsia" w:ascii="黑体" w:hAnsi="黑体" w:eastAsia="黑体" w:cs="黑体"/>
          <w:b w:val="0"/>
          <w:bCs/>
          <w:i w:val="0"/>
          <w:caps w:val="0"/>
          <w:color w:val="333333"/>
          <w:spacing w:val="0"/>
          <w:sz w:val="32"/>
          <w:szCs w:val="32"/>
          <w:shd w:val="clear" w:color="auto" w:fill="FFFFFF"/>
          <w:lang w:val="en-US" w:eastAsia="zh-CN"/>
        </w:rPr>
        <w:t xml:space="preserve">   </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600" w:lineRule="exact"/>
        <w:ind w:right="0" w:firstLine="640" w:firstLineChars="200"/>
        <w:jc w:val="both"/>
        <w:textAlignment w:val="auto"/>
        <w:outlineLvl w:val="9"/>
        <w:rPr>
          <w:rFonts w:hint="eastAsia" w:ascii="宋体" w:hAnsi="宋体" w:eastAsia="宋体" w:cs="宋体"/>
          <w:i w:val="0"/>
          <w:caps w:val="0"/>
          <w:color w:val="333333"/>
          <w:spacing w:val="0"/>
          <w:sz w:val="24"/>
          <w:szCs w:val="24"/>
        </w:rPr>
      </w:pPr>
      <w:r>
        <w:rPr>
          <w:rFonts w:hint="eastAsia" w:ascii="黑体" w:hAnsi="黑体" w:eastAsia="黑体" w:cs="黑体"/>
          <w:b w:val="0"/>
          <w:bCs/>
          <w:i w:val="0"/>
          <w:caps w:val="0"/>
          <w:color w:val="333333"/>
          <w:spacing w:val="0"/>
          <w:sz w:val="32"/>
          <w:szCs w:val="32"/>
          <w:shd w:val="clear" w:color="auto" w:fill="FFFFFF"/>
        </w:rPr>
        <w:t>三、收到和处理政府信息公开申请情况</w:t>
      </w:r>
    </w:p>
    <w:tbl>
      <w:tblPr>
        <w:tblStyle w:val="6"/>
        <w:tblW w:w="88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42"/>
        <w:gridCol w:w="888"/>
        <w:gridCol w:w="3033"/>
        <w:gridCol w:w="648"/>
        <w:gridCol w:w="648"/>
        <w:gridCol w:w="648"/>
        <w:gridCol w:w="648"/>
        <w:gridCol w:w="648"/>
        <w:gridCol w:w="648"/>
        <w:gridCol w:w="84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4163"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（本列数据的勾稽关系为：第一项加第二项之和，等于第三项加第四项之和）</w:t>
            </w:r>
          </w:p>
        </w:tc>
        <w:tc>
          <w:tcPr>
            <w:tcW w:w="4736"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4163"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hint="eastAsia" w:ascii="仿宋_GB2312" w:hAnsi="仿宋_GB2312" w:eastAsia="仿宋_GB2312" w:cs="仿宋_GB2312"/>
                <w:sz w:val="20"/>
                <w:szCs w:val="20"/>
              </w:rPr>
            </w:pPr>
          </w:p>
        </w:tc>
        <w:tc>
          <w:tcPr>
            <w:tcW w:w="648" w:type="dxa"/>
            <w:vMerge w:val="restart"/>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自然人</w:t>
            </w:r>
          </w:p>
        </w:tc>
        <w:tc>
          <w:tcPr>
            <w:tcW w:w="3240" w:type="dxa"/>
            <w:gridSpan w:val="5"/>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法人或其他组织</w:t>
            </w:r>
          </w:p>
        </w:tc>
        <w:tc>
          <w:tcPr>
            <w:tcW w:w="848" w:type="dxa"/>
            <w:vMerge w:val="restart"/>
            <w:tcBorders>
              <w:top w:val="single" w:color="auto" w:sz="8" w:space="0"/>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1" w:hRule="atLeast"/>
          <w:jc w:val="center"/>
        </w:trPr>
        <w:tc>
          <w:tcPr>
            <w:tcW w:w="4163"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hint="eastAsia" w:ascii="仿宋_GB2312" w:hAnsi="仿宋_GB2312" w:eastAsia="仿宋_GB2312" w:cs="仿宋_GB2312"/>
                <w:sz w:val="20"/>
                <w:szCs w:val="20"/>
              </w:rPr>
            </w:pPr>
          </w:p>
        </w:tc>
        <w:tc>
          <w:tcPr>
            <w:tcW w:w="648" w:type="dxa"/>
            <w:vMerge w:val="continue"/>
            <w:tcBorders>
              <w:top w:val="nil"/>
              <w:left w:val="nil"/>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商业</w:t>
            </w:r>
          </w:p>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企业</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科研</w:t>
            </w:r>
          </w:p>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机构</w:t>
            </w:r>
          </w:p>
        </w:tc>
        <w:tc>
          <w:tcPr>
            <w:tcW w:w="64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社会公益组织</w:t>
            </w:r>
          </w:p>
        </w:tc>
        <w:tc>
          <w:tcPr>
            <w:tcW w:w="64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法律服务机构</w:t>
            </w:r>
          </w:p>
        </w:tc>
        <w:tc>
          <w:tcPr>
            <w:tcW w:w="64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其他</w:t>
            </w:r>
          </w:p>
        </w:tc>
        <w:tc>
          <w:tcPr>
            <w:tcW w:w="848"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4163"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一、本年新收政府信息公开申请数量</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8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4163" w:type="dxa"/>
            <w:gridSpan w:val="3"/>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二、上年结转政府信息公开申请数量</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42" w:type="dxa"/>
            <w:vMerge w:val="restart"/>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三、本年度办理结果</w:t>
            </w:r>
          </w:p>
        </w:tc>
        <w:tc>
          <w:tcPr>
            <w:tcW w:w="3921" w:type="dxa"/>
            <w:gridSpan w:val="2"/>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（一）予以公开</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921" w:type="dxa"/>
            <w:gridSpan w:val="2"/>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（二）部分公开（区分处理的，只计这一情形，不计其他情形）</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restart"/>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（三）不予公开</w:t>
            </w: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1.属于国家秘密</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2.其他法律行政法规禁止公开</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3.危及“三安全一稳定”</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4.保护第三方合法权益</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5.属于三类内部事务信息</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6.属于四类过程性信息</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7.属于行政执法案卷</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8.属于行政查询事项</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restart"/>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（四）无法提供</w:t>
            </w: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1.本机关不掌握相关政府信息</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2.没有现成信息需要另行制作</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3.补正后申请内容仍不明确</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restart"/>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（五）不予处理</w:t>
            </w: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1.信访举报投诉类申请</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2.重复申请</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3.要求提供公开出版物</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4.无正当理由大量反复申请</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5.要求行政机关确认或重新出具已获取信息</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10"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restart"/>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（六）其他处理</w:t>
            </w: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1.申请人无正当理由逾期不补正、行政机关不再处理其政府信息公开申请</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1" w:hRule="atLeast"/>
          <w:jc w:val="center"/>
        </w:trPr>
        <w:tc>
          <w:tcPr>
            <w:tcW w:w="24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2.申请人逾期未按收费通知要求缴纳费用、行政机关不再处理其政府信息公开申请</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single" w:color="auto" w:sz="8" w:space="0"/>
              <w:left w:val="single" w:color="auto" w:sz="8" w:space="0"/>
              <w:bottom w:val="outset"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888"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033"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3.其他</w:t>
            </w:r>
          </w:p>
        </w:tc>
        <w:tc>
          <w:tcPr>
            <w:tcW w:w="64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84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42"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仿宋_GB2312" w:hAnsi="仿宋_GB2312" w:eastAsia="仿宋_GB2312" w:cs="仿宋_GB2312"/>
                <w:sz w:val="20"/>
                <w:szCs w:val="20"/>
              </w:rPr>
            </w:pPr>
          </w:p>
        </w:tc>
        <w:tc>
          <w:tcPr>
            <w:tcW w:w="3921" w:type="dxa"/>
            <w:gridSpan w:val="2"/>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（七）总计</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8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1" w:hRule="atLeast"/>
          <w:jc w:val="center"/>
        </w:trPr>
        <w:tc>
          <w:tcPr>
            <w:tcW w:w="4163"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四、结转下年度继续办理</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84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bl>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156" w:afterLines="50" w:afterAutospacing="0" w:line="600" w:lineRule="exact"/>
        <w:ind w:right="0" w:firstLine="640" w:firstLineChars="200"/>
        <w:jc w:val="both"/>
        <w:textAlignment w:val="auto"/>
        <w:outlineLvl w:val="9"/>
        <w:rPr>
          <w:rFonts w:hint="eastAsia" w:ascii="黑体" w:hAnsi="黑体" w:eastAsia="黑体" w:cs="黑体"/>
          <w:b w:val="0"/>
          <w:bCs/>
          <w:i w:val="0"/>
          <w:caps w:val="0"/>
          <w:color w:val="333333"/>
          <w:spacing w:val="0"/>
          <w:sz w:val="32"/>
          <w:szCs w:val="32"/>
          <w:shd w:val="clear" w:color="auto" w:fill="FFFFFF"/>
        </w:rPr>
      </w:pPr>
      <w:r>
        <w:rPr>
          <w:rFonts w:hint="eastAsia" w:ascii="黑体" w:hAnsi="黑体" w:eastAsia="黑体" w:cs="黑体"/>
          <w:b w:val="0"/>
          <w:bCs/>
          <w:i w:val="0"/>
          <w:caps w:val="0"/>
          <w:color w:val="333333"/>
          <w:spacing w:val="0"/>
          <w:sz w:val="32"/>
          <w:szCs w:val="32"/>
          <w:shd w:val="clear" w:color="auto" w:fill="FFFFFF"/>
        </w:rPr>
        <w:t>四、政府信息公开行政复议、行政诉讼情况</w:t>
      </w:r>
    </w:p>
    <w:tbl>
      <w:tblPr>
        <w:tblStyle w:val="6"/>
        <w:tblW w:w="90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3"/>
        <w:gridCol w:w="603"/>
        <w:gridCol w:w="603"/>
        <w:gridCol w:w="603"/>
        <w:gridCol w:w="603"/>
        <w:gridCol w:w="603"/>
        <w:gridCol w:w="603"/>
        <w:gridCol w:w="604"/>
        <w:gridCol w:w="604"/>
        <w:gridCol w:w="604"/>
        <w:gridCol w:w="605"/>
        <w:gridCol w:w="605"/>
        <w:gridCol w:w="605"/>
        <w:gridCol w:w="605"/>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01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行政复议</w:t>
            </w:r>
          </w:p>
        </w:tc>
        <w:tc>
          <w:tcPr>
            <w:tcW w:w="6044"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3"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结果维持</w:t>
            </w:r>
          </w:p>
        </w:tc>
        <w:tc>
          <w:tcPr>
            <w:tcW w:w="603"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结果</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纠正</w:t>
            </w:r>
          </w:p>
        </w:tc>
        <w:tc>
          <w:tcPr>
            <w:tcW w:w="603"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其他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结果</w:t>
            </w:r>
          </w:p>
        </w:tc>
        <w:tc>
          <w:tcPr>
            <w:tcW w:w="603"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尚未</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审结</w:t>
            </w:r>
          </w:p>
        </w:tc>
        <w:tc>
          <w:tcPr>
            <w:tcW w:w="603"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总计</w:t>
            </w:r>
          </w:p>
        </w:tc>
        <w:tc>
          <w:tcPr>
            <w:tcW w:w="301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未经复议直接起诉</w:t>
            </w:r>
          </w:p>
        </w:tc>
        <w:tc>
          <w:tcPr>
            <w:tcW w:w="3026"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9" w:hRule="atLeast"/>
          <w:jc w:val="center"/>
        </w:trPr>
        <w:tc>
          <w:tcPr>
            <w:tcW w:w="603"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仿宋_GB2312" w:hAnsi="仿宋_GB2312" w:eastAsia="仿宋_GB2312" w:cs="仿宋_GB2312"/>
                <w:sz w:val="20"/>
                <w:szCs w:val="20"/>
              </w:rPr>
            </w:pPr>
          </w:p>
        </w:tc>
        <w:tc>
          <w:tcPr>
            <w:tcW w:w="603"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仿宋_GB2312" w:hAnsi="仿宋_GB2312" w:eastAsia="仿宋_GB2312" w:cs="仿宋_GB2312"/>
                <w:sz w:val="20"/>
                <w:szCs w:val="20"/>
              </w:rPr>
            </w:pPr>
          </w:p>
        </w:tc>
        <w:tc>
          <w:tcPr>
            <w:tcW w:w="603"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仿宋_GB2312" w:hAnsi="仿宋_GB2312" w:eastAsia="仿宋_GB2312" w:cs="仿宋_GB2312"/>
                <w:sz w:val="20"/>
                <w:szCs w:val="20"/>
              </w:rPr>
            </w:pPr>
          </w:p>
        </w:tc>
        <w:tc>
          <w:tcPr>
            <w:tcW w:w="603"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仿宋_GB2312" w:hAnsi="仿宋_GB2312" w:eastAsia="仿宋_GB2312" w:cs="仿宋_GB2312"/>
                <w:sz w:val="20"/>
                <w:szCs w:val="20"/>
              </w:rPr>
            </w:pPr>
          </w:p>
        </w:tc>
        <w:tc>
          <w:tcPr>
            <w:tcW w:w="603"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仿宋_GB2312" w:hAnsi="仿宋_GB2312" w:eastAsia="仿宋_GB2312" w:cs="仿宋_GB2312"/>
                <w:sz w:val="20"/>
                <w:szCs w:val="20"/>
              </w:rPr>
            </w:pPr>
          </w:p>
        </w:tc>
        <w:tc>
          <w:tcPr>
            <w:tcW w:w="603"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结果</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维持</w:t>
            </w:r>
          </w:p>
        </w:tc>
        <w:tc>
          <w:tcPr>
            <w:tcW w:w="603"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结果</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纠正</w:t>
            </w:r>
          </w:p>
        </w:tc>
        <w:tc>
          <w:tcPr>
            <w:tcW w:w="60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其他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结果</w:t>
            </w:r>
          </w:p>
        </w:tc>
        <w:tc>
          <w:tcPr>
            <w:tcW w:w="60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尚未</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审结</w:t>
            </w:r>
          </w:p>
        </w:tc>
        <w:tc>
          <w:tcPr>
            <w:tcW w:w="60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总计</w:t>
            </w:r>
          </w:p>
        </w:tc>
        <w:tc>
          <w:tcPr>
            <w:tcW w:w="6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结果</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维持</w:t>
            </w:r>
          </w:p>
        </w:tc>
        <w:tc>
          <w:tcPr>
            <w:tcW w:w="6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结果</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纠正</w:t>
            </w:r>
          </w:p>
        </w:tc>
        <w:tc>
          <w:tcPr>
            <w:tcW w:w="6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其他</w:t>
            </w:r>
            <w:r>
              <w:rPr>
                <w:rFonts w:hint="eastAsia" w:ascii="仿宋_GB2312" w:hAnsi="仿宋_GB2312" w:eastAsia="仿宋_GB2312" w:cs="仿宋_GB2312"/>
                <w:color w:val="000000"/>
                <w:kern w:val="0"/>
                <w:sz w:val="20"/>
                <w:szCs w:val="20"/>
                <w:lang w:val="en-US" w:eastAsia="zh-CN"/>
              </w:rPr>
              <w:br w:type="textWrapping"/>
            </w:r>
            <w:r>
              <w:rPr>
                <w:rFonts w:hint="eastAsia" w:ascii="仿宋_GB2312" w:hAnsi="仿宋_GB2312" w:eastAsia="仿宋_GB2312" w:cs="仿宋_GB2312"/>
                <w:color w:val="000000"/>
                <w:kern w:val="0"/>
                <w:sz w:val="20"/>
                <w:szCs w:val="20"/>
                <w:lang w:val="en-US" w:eastAsia="zh-CN"/>
              </w:rPr>
              <w:t>结果</w:t>
            </w:r>
          </w:p>
        </w:tc>
        <w:tc>
          <w:tcPr>
            <w:tcW w:w="6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尚未</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审结</w:t>
            </w:r>
          </w:p>
        </w:tc>
        <w:tc>
          <w:tcPr>
            <w:tcW w:w="60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7" w:hRule="atLeast"/>
          <w:jc w:val="center"/>
        </w:trPr>
        <w:tc>
          <w:tcPr>
            <w:tcW w:w="603"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3"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3"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3"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3"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3"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3"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5"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5"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5"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5"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c>
          <w:tcPr>
            <w:tcW w:w="606"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000000"/>
                <w:kern w:val="0"/>
                <w:sz w:val="20"/>
                <w:szCs w:val="20"/>
                <w:lang w:val="en-US" w:eastAsia="zh-CN"/>
              </w:rPr>
              <w:t>0</w:t>
            </w:r>
          </w:p>
        </w:tc>
      </w:tr>
    </w:tbl>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600" w:lineRule="exact"/>
        <w:ind w:right="0"/>
        <w:jc w:val="both"/>
        <w:textAlignment w:val="auto"/>
        <w:outlineLvl w:val="9"/>
        <w:rPr>
          <w:rFonts w:hint="eastAsia" w:ascii="黑体" w:hAnsi="黑体" w:eastAsia="黑体" w:cs="黑体"/>
          <w:b w:val="0"/>
          <w:bCs/>
          <w:i w:val="0"/>
          <w:caps w:val="0"/>
          <w:color w:val="333333"/>
          <w:spacing w:val="0"/>
          <w:sz w:val="32"/>
          <w:szCs w:val="32"/>
          <w:shd w:val="clear" w:color="auto" w:fill="FFFFFF"/>
          <w:lang w:val="en-US" w:eastAsia="zh-CN"/>
        </w:rPr>
      </w:pPr>
      <w:r>
        <w:rPr>
          <w:rFonts w:hint="eastAsia" w:ascii="黑体" w:hAnsi="黑体" w:eastAsia="黑体" w:cs="黑体"/>
          <w:b w:val="0"/>
          <w:bCs/>
          <w:i w:val="0"/>
          <w:caps w:val="0"/>
          <w:color w:val="333333"/>
          <w:spacing w:val="0"/>
          <w:sz w:val="32"/>
          <w:szCs w:val="32"/>
          <w:shd w:val="clear" w:color="auto" w:fill="FFFFFF"/>
          <w:lang w:val="en-US" w:eastAsia="zh-CN"/>
        </w:rPr>
        <w:t xml:space="preserve">    </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600" w:lineRule="exact"/>
        <w:ind w:right="0"/>
        <w:jc w:val="both"/>
        <w:textAlignment w:val="auto"/>
        <w:outlineLvl w:val="9"/>
        <w:rPr>
          <w:rFonts w:hint="eastAsia" w:ascii="黑体" w:hAnsi="黑体" w:eastAsia="黑体" w:cs="黑体"/>
          <w:b w:val="0"/>
          <w:bCs/>
          <w:i w:val="0"/>
          <w:caps w:val="0"/>
          <w:color w:val="333333"/>
          <w:spacing w:val="0"/>
          <w:sz w:val="32"/>
          <w:szCs w:val="32"/>
          <w:shd w:val="clear" w:color="auto" w:fill="FFFFFF"/>
        </w:rPr>
      </w:pPr>
      <w:r>
        <w:rPr>
          <w:rFonts w:hint="eastAsia" w:ascii="黑体" w:hAnsi="黑体" w:eastAsia="黑体" w:cs="黑体"/>
          <w:b w:val="0"/>
          <w:bCs/>
          <w:i w:val="0"/>
          <w:caps w:val="0"/>
          <w:color w:val="333333"/>
          <w:spacing w:val="0"/>
          <w:sz w:val="32"/>
          <w:szCs w:val="32"/>
          <w:shd w:val="clear" w:color="auto" w:fill="FFFFFF"/>
          <w:lang w:val="en-US" w:eastAsia="zh-CN"/>
        </w:rPr>
        <w:t xml:space="preserve">    </w:t>
      </w:r>
      <w:r>
        <w:rPr>
          <w:rFonts w:hint="eastAsia" w:ascii="黑体" w:hAnsi="黑体" w:eastAsia="黑体" w:cs="黑体"/>
          <w:b w:val="0"/>
          <w:bCs/>
          <w:i w:val="0"/>
          <w:caps w:val="0"/>
          <w:color w:val="333333"/>
          <w:spacing w:val="0"/>
          <w:sz w:val="32"/>
          <w:szCs w:val="32"/>
          <w:shd w:val="clear" w:color="auto" w:fill="FFFFFF"/>
        </w:rPr>
        <w:t>五、存在的主要问题及改进情况</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600" w:lineRule="exact"/>
        <w:ind w:left="0" w:leftChars="0" w:right="0" w:firstLine="0" w:firstLineChars="0"/>
        <w:jc w:val="both"/>
        <w:textAlignment w:val="auto"/>
        <w:outlineLvl w:val="9"/>
        <w:rPr>
          <w:rFonts w:hint="eastAsia" w:ascii="黑体" w:hAnsi="黑体" w:eastAsia="黑体" w:cs="黑体"/>
          <w:b w:val="0"/>
          <w:bCs/>
          <w:i w:val="0"/>
          <w:caps w:val="0"/>
          <w:color w:val="auto"/>
          <w:spacing w:val="0"/>
          <w:sz w:val="32"/>
          <w:szCs w:val="32"/>
          <w:shd w:val="clear" w:color="auto" w:fill="FFFFFF"/>
        </w:rPr>
      </w:pPr>
      <w:r>
        <w:rPr>
          <w:rFonts w:hint="eastAsia" w:ascii="黑体" w:hAnsi="黑体" w:eastAsia="黑体" w:cs="黑体"/>
          <w:b w:val="0"/>
          <w:bCs/>
          <w:i w:val="0"/>
          <w:caps w:val="0"/>
          <w:color w:val="333333"/>
          <w:spacing w:val="0"/>
          <w:sz w:val="32"/>
          <w:szCs w:val="32"/>
          <w:shd w:val="clear" w:color="auto" w:fill="FFFFFF"/>
          <w:lang w:val="en-US" w:eastAsia="zh-CN"/>
        </w:rPr>
        <w:t xml:space="preserve">  </w:t>
      </w:r>
      <w:r>
        <w:rPr>
          <w:rFonts w:hint="eastAsia" w:ascii="黑体" w:hAnsi="黑体" w:eastAsia="黑体" w:cs="黑体"/>
          <w:b w:val="0"/>
          <w:bCs/>
          <w:i w:val="0"/>
          <w:caps w:val="0"/>
          <w:color w:val="auto"/>
          <w:spacing w:val="0"/>
          <w:sz w:val="32"/>
          <w:szCs w:val="32"/>
          <w:shd w:val="clear" w:color="auto" w:fill="FFFFFF"/>
          <w:lang w:val="en-US" w:eastAsia="zh-CN"/>
        </w:rPr>
        <w:t xml:space="preserve"> </w:t>
      </w:r>
      <w:r>
        <w:rPr>
          <w:rFonts w:hint="eastAsia" w:ascii="仿宋_GB2312" w:hAnsi="仿宋_GB2312" w:eastAsia="仿宋_GB2312" w:cs="黑体"/>
          <w:b w:val="0"/>
          <w:bCs/>
          <w:i w:val="0"/>
          <w:caps w:val="0"/>
          <w:color w:val="auto"/>
          <w:spacing w:val="0"/>
          <w:sz w:val="32"/>
          <w:szCs w:val="32"/>
          <w:shd w:val="clear" w:color="auto" w:fill="FFFFFF"/>
          <w:lang w:val="en-US" w:eastAsia="zh-CN"/>
        </w:rPr>
        <w:t xml:space="preserve"> 2024年，宁德市分行不断推进政务公开工作取得积极成效，但主动公开政府信息的意识需进一步增强、政务公开部门协同机制有待进一步深化。下阶段，宁德市分行将继续坚持为民服务理念，夯实工作基础，提升工作实效。一是组织开展针对性的政务公开培训，提高对于政府信息公开工作的认识和理解，营造主动公开的良好氛围，确保政务信息公开工作顺畅。二是加强各部门联动，对于涉及多个部门的政务公开事项，各部门要密切配合，共同推进。加强部门间的沟通协调，形成工作合力，提高政务公开工作的效率和质量。三是进一步加强政务公开制度的解读宣传，加大主动公开力度，使政务公开更贴近群众需求。</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黑体" w:hAnsi="黑体" w:eastAsia="黑体" w:cs="黑体"/>
          <w:b w:val="0"/>
          <w:bCs/>
          <w:i w:val="0"/>
          <w:caps w:val="0"/>
          <w:color w:val="333333"/>
          <w:spacing w:val="0"/>
          <w:sz w:val="32"/>
          <w:szCs w:val="32"/>
          <w:shd w:val="clear" w:color="auto" w:fill="FFFFFF"/>
        </w:rPr>
      </w:pPr>
      <w:r>
        <w:rPr>
          <w:rFonts w:hint="eastAsia" w:ascii="黑体" w:hAnsi="黑体" w:eastAsia="黑体" w:cs="黑体"/>
          <w:b w:val="0"/>
          <w:bCs/>
          <w:i w:val="0"/>
          <w:caps w:val="0"/>
          <w:color w:val="333333"/>
          <w:spacing w:val="0"/>
          <w:sz w:val="32"/>
          <w:szCs w:val="32"/>
          <w:shd w:val="clear" w:color="auto" w:fill="FFFFFF"/>
        </w:rPr>
        <w:t>六、其他需要报告的事项</w:t>
      </w:r>
    </w:p>
    <w:p>
      <w:pPr>
        <w:spacing w:line="560" w:lineRule="exact"/>
        <w:rPr>
          <w:rFonts w:hint="eastAsia" w:ascii="仿宋_GB2312" w:hAnsi="仿宋_GB2312" w:eastAsia="仿宋_GB2312"/>
          <w:sz w:val="32"/>
          <w:lang w:val="en-US" w:eastAsia="zh-CN"/>
        </w:rPr>
      </w:pPr>
      <w:r>
        <w:rPr>
          <w:rFonts w:hint="eastAsia"/>
          <w:lang w:val="en-US" w:eastAsia="zh-CN"/>
        </w:rPr>
        <w:t xml:space="preserve">      </w:t>
      </w:r>
      <w:r>
        <w:rPr>
          <w:rFonts w:hint="eastAsia" w:ascii="仿宋_GB2312" w:hAnsi="仿宋_GB2312" w:eastAsia="仿宋_GB2312"/>
          <w:sz w:val="32"/>
          <w:lang w:val="en-US" w:eastAsia="zh-CN"/>
        </w:rPr>
        <w:t>无。</w:t>
      </w: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pPr>
    </w:p>
    <w:bookmarkEnd w:id="0"/>
    <w:sectPr>
      <w:footerReference r:id="rId3" w:type="default"/>
      <w:endnotePr>
        <w:numFmt w:val="decimal"/>
      </w:endnote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Fonts w:ascii="Times New Roman" w:hAnsi="Times New Roman" w:eastAsia="宋体" w:cs="Times New Roman"/>
        <w:kern w:val="2"/>
        <w:sz w:val="18"/>
        <w:szCs w:val="18"/>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pBdr>
                    <w:between w:val="none" w:color="auto" w:sz="0" w:space="0"/>
                  </w:pBdr>
                  <w:rPr>
                    <w:rStyle w:val="8"/>
                    <w:sz w:val="21"/>
                  </w:rPr>
                </w:pPr>
                <w:r>
                  <w:rPr>
                    <w:sz w:val="21"/>
                  </w:rPr>
                  <w:fldChar w:fldCharType="begin"/>
                </w:r>
                <w:r>
                  <w:rPr>
                    <w:rStyle w:val="8"/>
                    <w:sz w:val="21"/>
                  </w:rPr>
                  <w:instrText xml:space="preserve"> PAGE  </w:instrText>
                </w:r>
                <w:r>
                  <w:rPr>
                    <w:sz w:val="21"/>
                  </w:rPr>
                  <w:fldChar w:fldCharType="separate"/>
                </w:r>
                <w:r>
                  <w:rPr>
                    <w:rStyle w:val="8"/>
                    <w:sz w:val="21"/>
                  </w:rPr>
                  <w:t>- 1 -</w:t>
                </w:r>
                <w:r>
                  <w:rPr>
                    <w:sz w:val="21"/>
                  </w:rPr>
                  <w:fldChar w:fldCharType="end"/>
                </w:r>
              </w:p>
            </w:txbxContent>
          </v:textbox>
        </v:rect>
      </w:pict>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56863B83"/>
    <w:rsid w:val="00A45669"/>
    <w:rsid w:val="00B7457D"/>
    <w:rsid w:val="01082995"/>
    <w:rsid w:val="01554032"/>
    <w:rsid w:val="0186085A"/>
    <w:rsid w:val="01DA3BFA"/>
    <w:rsid w:val="021A6CD4"/>
    <w:rsid w:val="025A6E6B"/>
    <w:rsid w:val="03005E0E"/>
    <w:rsid w:val="03B04F27"/>
    <w:rsid w:val="04D735B7"/>
    <w:rsid w:val="052C339A"/>
    <w:rsid w:val="05907098"/>
    <w:rsid w:val="05D378BF"/>
    <w:rsid w:val="06577462"/>
    <w:rsid w:val="06BD1D52"/>
    <w:rsid w:val="06E71564"/>
    <w:rsid w:val="07003193"/>
    <w:rsid w:val="07443983"/>
    <w:rsid w:val="078111D3"/>
    <w:rsid w:val="07BF43A2"/>
    <w:rsid w:val="09186A7D"/>
    <w:rsid w:val="093C45E3"/>
    <w:rsid w:val="094277C9"/>
    <w:rsid w:val="09F62CA9"/>
    <w:rsid w:val="0A7608EB"/>
    <w:rsid w:val="0AF004B5"/>
    <w:rsid w:val="0B0517EE"/>
    <w:rsid w:val="0B101EF2"/>
    <w:rsid w:val="0BC04500"/>
    <w:rsid w:val="0BF215AB"/>
    <w:rsid w:val="0CCB3943"/>
    <w:rsid w:val="0D9320A2"/>
    <w:rsid w:val="0DB123D9"/>
    <w:rsid w:val="0DD14399"/>
    <w:rsid w:val="0DFB5E23"/>
    <w:rsid w:val="0E137B2C"/>
    <w:rsid w:val="0E5A4F6D"/>
    <w:rsid w:val="0F7A7711"/>
    <w:rsid w:val="0F8257C1"/>
    <w:rsid w:val="0F841117"/>
    <w:rsid w:val="106E2F8F"/>
    <w:rsid w:val="10A23AE8"/>
    <w:rsid w:val="110A3E06"/>
    <w:rsid w:val="115709A5"/>
    <w:rsid w:val="116066D1"/>
    <w:rsid w:val="11A95E9B"/>
    <w:rsid w:val="12184829"/>
    <w:rsid w:val="126F7D84"/>
    <w:rsid w:val="12CD12B9"/>
    <w:rsid w:val="130735C1"/>
    <w:rsid w:val="149E22D2"/>
    <w:rsid w:val="153D376E"/>
    <w:rsid w:val="15B82D53"/>
    <w:rsid w:val="1777230E"/>
    <w:rsid w:val="182B6914"/>
    <w:rsid w:val="182E1FED"/>
    <w:rsid w:val="18764BF9"/>
    <w:rsid w:val="191742F7"/>
    <w:rsid w:val="19742600"/>
    <w:rsid w:val="19AD2643"/>
    <w:rsid w:val="19B25A33"/>
    <w:rsid w:val="1A151565"/>
    <w:rsid w:val="1A39128E"/>
    <w:rsid w:val="1A3D53F6"/>
    <w:rsid w:val="1B563A2C"/>
    <w:rsid w:val="1B795EBD"/>
    <w:rsid w:val="1B975D10"/>
    <w:rsid w:val="1BAD0706"/>
    <w:rsid w:val="1C0F2304"/>
    <w:rsid w:val="1C220B6F"/>
    <w:rsid w:val="1DF84F98"/>
    <w:rsid w:val="1E671A21"/>
    <w:rsid w:val="1F091208"/>
    <w:rsid w:val="220358DB"/>
    <w:rsid w:val="22127EBA"/>
    <w:rsid w:val="222F0C6D"/>
    <w:rsid w:val="229A688D"/>
    <w:rsid w:val="2320268E"/>
    <w:rsid w:val="239118FE"/>
    <w:rsid w:val="239372EB"/>
    <w:rsid w:val="23BF11A8"/>
    <w:rsid w:val="24980D64"/>
    <w:rsid w:val="253034A1"/>
    <w:rsid w:val="25CD1194"/>
    <w:rsid w:val="2619757A"/>
    <w:rsid w:val="264441D2"/>
    <w:rsid w:val="26672A7F"/>
    <w:rsid w:val="26EB6536"/>
    <w:rsid w:val="270D629D"/>
    <w:rsid w:val="282E0AFB"/>
    <w:rsid w:val="2A587E5D"/>
    <w:rsid w:val="2AAF2C86"/>
    <w:rsid w:val="2AE67FB3"/>
    <w:rsid w:val="2B0D289B"/>
    <w:rsid w:val="2B847824"/>
    <w:rsid w:val="2BAE764C"/>
    <w:rsid w:val="2C2B69BC"/>
    <w:rsid w:val="2D155F28"/>
    <w:rsid w:val="2D387B3A"/>
    <w:rsid w:val="2D6F5B77"/>
    <w:rsid w:val="2DA50F16"/>
    <w:rsid w:val="2DA74C27"/>
    <w:rsid w:val="2DA914CF"/>
    <w:rsid w:val="2DE46681"/>
    <w:rsid w:val="2E0D4D17"/>
    <w:rsid w:val="2E5406E5"/>
    <w:rsid w:val="2F694D2B"/>
    <w:rsid w:val="30850585"/>
    <w:rsid w:val="30BC3A50"/>
    <w:rsid w:val="315F2C2A"/>
    <w:rsid w:val="31823EDD"/>
    <w:rsid w:val="32725F0C"/>
    <w:rsid w:val="32DA5E41"/>
    <w:rsid w:val="33155EC5"/>
    <w:rsid w:val="33BD05D3"/>
    <w:rsid w:val="33EE5FB5"/>
    <w:rsid w:val="340E7D5D"/>
    <w:rsid w:val="34297728"/>
    <w:rsid w:val="35C828C9"/>
    <w:rsid w:val="36FB3810"/>
    <w:rsid w:val="37865A66"/>
    <w:rsid w:val="37980591"/>
    <w:rsid w:val="38B85F72"/>
    <w:rsid w:val="39BF038C"/>
    <w:rsid w:val="3BA703B0"/>
    <w:rsid w:val="3C312530"/>
    <w:rsid w:val="3D0467FE"/>
    <w:rsid w:val="3D0B3E6F"/>
    <w:rsid w:val="3EC601E7"/>
    <w:rsid w:val="3FF7498F"/>
    <w:rsid w:val="40777F42"/>
    <w:rsid w:val="40BE64AC"/>
    <w:rsid w:val="41611EFE"/>
    <w:rsid w:val="41D5210A"/>
    <w:rsid w:val="41DE3D32"/>
    <w:rsid w:val="423B060C"/>
    <w:rsid w:val="42E15581"/>
    <w:rsid w:val="458577F5"/>
    <w:rsid w:val="45E12B37"/>
    <w:rsid w:val="460F2921"/>
    <w:rsid w:val="4680001C"/>
    <w:rsid w:val="471E343D"/>
    <w:rsid w:val="4733732D"/>
    <w:rsid w:val="48931DCB"/>
    <w:rsid w:val="494548A4"/>
    <w:rsid w:val="4BC86E94"/>
    <w:rsid w:val="4BED6E6D"/>
    <w:rsid w:val="4C08173F"/>
    <w:rsid w:val="4C222387"/>
    <w:rsid w:val="4CF013E2"/>
    <w:rsid w:val="4F144FD9"/>
    <w:rsid w:val="4F2D3A66"/>
    <w:rsid w:val="4F5A218A"/>
    <w:rsid w:val="4F9B7341"/>
    <w:rsid w:val="4FC32580"/>
    <w:rsid w:val="50027559"/>
    <w:rsid w:val="50180D7E"/>
    <w:rsid w:val="5058082E"/>
    <w:rsid w:val="51ED689A"/>
    <w:rsid w:val="528D17C2"/>
    <w:rsid w:val="54023E61"/>
    <w:rsid w:val="54443936"/>
    <w:rsid w:val="54EA1D5D"/>
    <w:rsid w:val="55676A39"/>
    <w:rsid w:val="55971311"/>
    <w:rsid w:val="55CC4D9B"/>
    <w:rsid w:val="567F68B6"/>
    <w:rsid w:val="56863B83"/>
    <w:rsid w:val="581F67B2"/>
    <w:rsid w:val="58242DA9"/>
    <w:rsid w:val="58482C77"/>
    <w:rsid w:val="59803A18"/>
    <w:rsid w:val="5A302BBE"/>
    <w:rsid w:val="5B2C2842"/>
    <w:rsid w:val="5B6D4630"/>
    <w:rsid w:val="5C0F743F"/>
    <w:rsid w:val="5C7B5F6F"/>
    <w:rsid w:val="5C883174"/>
    <w:rsid w:val="5D044AA5"/>
    <w:rsid w:val="5DA42179"/>
    <w:rsid w:val="60086E07"/>
    <w:rsid w:val="605F4F14"/>
    <w:rsid w:val="623545DE"/>
    <w:rsid w:val="623E29AB"/>
    <w:rsid w:val="62444AC8"/>
    <w:rsid w:val="62B14363"/>
    <w:rsid w:val="62E34570"/>
    <w:rsid w:val="62FC4448"/>
    <w:rsid w:val="641A713D"/>
    <w:rsid w:val="642F2638"/>
    <w:rsid w:val="64936B62"/>
    <w:rsid w:val="64D305FA"/>
    <w:rsid w:val="64D475A2"/>
    <w:rsid w:val="65491520"/>
    <w:rsid w:val="65DA7D3A"/>
    <w:rsid w:val="661869E5"/>
    <w:rsid w:val="68190E03"/>
    <w:rsid w:val="684A0F4C"/>
    <w:rsid w:val="68B7500E"/>
    <w:rsid w:val="68E452C6"/>
    <w:rsid w:val="699F2F17"/>
    <w:rsid w:val="69C54352"/>
    <w:rsid w:val="69CF55A4"/>
    <w:rsid w:val="6A2306A7"/>
    <w:rsid w:val="6ABC35A7"/>
    <w:rsid w:val="6B6A61C9"/>
    <w:rsid w:val="6B826EB1"/>
    <w:rsid w:val="6B9E4569"/>
    <w:rsid w:val="6C0F5E5F"/>
    <w:rsid w:val="6C35165E"/>
    <w:rsid w:val="6CF40FD9"/>
    <w:rsid w:val="6D4705A0"/>
    <w:rsid w:val="6DBC40E7"/>
    <w:rsid w:val="6E192138"/>
    <w:rsid w:val="6E251CFF"/>
    <w:rsid w:val="6E332363"/>
    <w:rsid w:val="6EF81F81"/>
    <w:rsid w:val="6F280C1E"/>
    <w:rsid w:val="6F984FAB"/>
    <w:rsid w:val="7006750B"/>
    <w:rsid w:val="707D41F6"/>
    <w:rsid w:val="714C2072"/>
    <w:rsid w:val="71B64B9C"/>
    <w:rsid w:val="72E748F1"/>
    <w:rsid w:val="732706F9"/>
    <w:rsid w:val="74E771CB"/>
    <w:rsid w:val="750B3E22"/>
    <w:rsid w:val="75715DD1"/>
    <w:rsid w:val="75EE3966"/>
    <w:rsid w:val="764656D9"/>
    <w:rsid w:val="7702452F"/>
    <w:rsid w:val="77884502"/>
    <w:rsid w:val="780A53F6"/>
    <w:rsid w:val="785F3E0F"/>
    <w:rsid w:val="78923E96"/>
    <w:rsid w:val="79331956"/>
    <w:rsid w:val="79A5191D"/>
    <w:rsid w:val="7A5D4157"/>
    <w:rsid w:val="7A6D6C1F"/>
    <w:rsid w:val="7B6B25AC"/>
    <w:rsid w:val="7CE91A9F"/>
    <w:rsid w:val="7D2D3839"/>
    <w:rsid w:val="7D530FF5"/>
    <w:rsid w:val="7D5C597F"/>
    <w:rsid w:val="7E871B16"/>
    <w:rsid w:val="7E8C13AA"/>
    <w:rsid w:val="7F861D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9"/>
    <w:pPr>
      <w:keepNext/>
      <w:keepLines/>
      <w:spacing w:before="200" w:beforeLines="0" w:beforeAutospacing="0" w:after="200" w:afterLines="0" w:afterAutospacing="0" w:line="400" w:lineRule="exact"/>
      <w:outlineLvl w:val="0"/>
    </w:pPr>
    <w:rPr>
      <w:rFonts w:ascii="Times New Roman" w:hAnsi="Times New Roman" w:eastAsia="方正小标宋_GBK"/>
      <w:b w:val="0"/>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pbc</Company>
  <Pages>1</Pages>
  <Words>0</Words>
  <Characters>0</Characters>
  <Lines>0</Lines>
  <Paragraphs>0</Paragraphs>
  <TotalTime>16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2025-02-08T00:56:00Z</dcterms:created>
  <dc:creator>薛梦芳</dc:creator>
  <cp:lastModifiedBy>黄敬华</cp:lastModifiedBy>
  <dcterms:modified xsi:type="dcterms:W3CDTF">2025-03-31T03:03:43Z</dcterms:modified>
  <dc:title>关于做好政府信息公开工作2024年度报告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E2BB610BC8C5427D9AFDCA23FA2F9469</vt:lpwstr>
  </property>
</Properties>
</file>