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方正小标宋_GBK" w:hAnsi="方正小标宋_GBK" w:eastAsia="方正小标宋_GBK" w:cs="方正小标宋_GBK"/>
          <w:b w:val="0"/>
          <w:kern w:val="44"/>
          <w:sz w:val="40"/>
          <w:szCs w:val="40"/>
          <w:lang w:val="en-US" w:eastAsia="zh-CN"/>
        </w:rPr>
      </w:pPr>
      <w:bookmarkStart w:id="0" w:name="_GoBack"/>
      <w:r>
        <w:rPr>
          <w:rFonts w:hint="eastAsia" w:ascii="方正小标宋_GBK" w:hAnsi="方正小标宋_GBK" w:eastAsia="方正小标宋_GBK" w:cs="方正小标宋_GBK"/>
          <w:b w:val="0"/>
          <w:kern w:val="44"/>
          <w:sz w:val="40"/>
          <w:szCs w:val="40"/>
          <w:lang w:val="en-US" w:eastAsia="zh-CN"/>
        </w:rPr>
        <w:t>中国人民银行漳州市分行</w:t>
      </w:r>
      <w:r>
        <w:rPr>
          <w:rFonts w:hint="default" w:ascii="方正小标宋_GBK" w:hAnsi="方正小标宋_GBK" w:eastAsia="方正小标宋_GBK" w:cs="方正小标宋_GBK"/>
          <w:b w:val="0"/>
          <w:kern w:val="44"/>
          <w:sz w:val="40"/>
          <w:szCs w:val="40"/>
          <w:lang w:val="en-US" w:eastAsia="zh-CN"/>
        </w:rPr>
        <w:t>202</w:t>
      </w:r>
      <w:r>
        <w:rPr>
          <w:rFonts w:hint="eastAsia" w:ascii="方正小标宋_GBK" w:hAnsi="方正小标宋_GBK" w:eastAsia="方正小标宋_GBK" w:cs="方正小标宋_GBK"/>
          <w:b w:val="0"/>
          <w:kern w:val="44"/>
          <w:sz w:val="40"/>
          <w:szCs w:val="40"/>
          <w:lang w:val="en-US" w:eastAsia="zh-CN"/>
        </w:rPr>
        <w:t>4</w:t>
      </w:r>
      <w:r>
        <w:rPr>
          <w:rFonts w:hint="default" w:ascii="方正小标宋_GBK" w:hAnsi="方正小标宋_GBK" w:eastAsia="方正小标宋_GBK" w:cs="方正小标宋_GBK"/>
          <w:b w:val="0"/>
          <w:kern w:val="44"/>
          <w:sz w:val="40"/>
          <w:szCs w:val="40"/>
          <w:lang w:val="en-US" w:eastAsia="zh-CN"/>
        </w:rPr>
        <w:t>年度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kern w:val="44"/>
          <w:sz w:val="40"/>
          <w:szCs w:val="40"/>
          <w:lang w:val="en-US" w:eastAsia="zh-CN"/>
        </w:rPr>
      </w:pPr>
      <w:r>
        <w:rPr>
          <w:rFonts w:hint="eastAsia" w:ascii="方正小标宋_GBK" w:hAnsi="方正小标宋_GBK" w:eastAsia="方正小标宋_GBK" w:cs="方正小标宋_GBK"/>
          <w:b w:val="0"/>
          <w:kern w:val="44"/>
          <w:sz w:val="40"/>
          <w:szCs w:val="40"/>
          <w:lang w:val="en-US" w:eastAsia="zh-CN"/>
        </w:rPr>
        <w:t>政府信息公开工作报告</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黑体"/>
          <w:color w:val="auto"/>
          <w:sz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3148"/>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一、总体情况</w:t>
      </w:r>
      <w:r>
        <w:rPr>
          <w:rFonts w:hint="default" w:ascii="黑体" w:hAnsi="黑体" w:eastAsia="黑体" w:cs="黑体"/>
          <w:b w:val="0"/>
          <w:bCs/>
          <w:i w:val="0"/>
          <w:caps w:val="0"/>
          <w:color w:val="auto"/>
          <w:spacing w:val="0"/>
          <w:sz w:val="32"/>
          <w:szCs w:val="32"/>
          <w:shd w:val="clear" w:color="auto" w:fill="FFFFFF"/>
        </w:rPr>
        <w:tab/>
      </w:r>
    </w:p>
    <w:p>
      <w:pPr>
        <w:keepNext w:val="0"/>
        <w:keepLines w:val="0"/>
        <w:pageBreakBefore w:val="0"/>
        <w:widowControl w:val="0"/>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中国人民银行漳州市分行（以下简称漳州市分行）积极贯彻落实政府信息公开工作有关文件和上级行相关工作要求，始终坚持以公众关切为导向，严把公开内容，规范公开程序，确保政府信息公开工作做好做实。现将全年情况总结报告如下：</w:t>
      </w:r>
    </w:p>
    <w:p>
      <w:pPr>
        <w:keepNext w:val="0"/>
        <w:keepLines w:val="0"/>
        <w:pageBreakBefore w:val="0"/>
        <w:widowControl w:val="0"/>
        <w:numPr>
          <w:ilvl w:val="-1"/>
          <w:numId w:val="0"/>
        </w:numPr>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sz w:val="32"/>
          <w:szCs w:val="32"/>
          <w:lang w:val="en-US" w:eastAsia="zh-CN"/>
        </w:rPr>
        <w:t>（一）深化政府信息管理，践行主动公开原则。</w:t>
      </w:r>
      <w:r>
        <w:rPr>
          <w:rFonts w:hint="eastAsia" w:ascii="仿宋_GB2312" w:hAnsi="仿宋_GB2312" w:eastAsia="仿宋_GB2312" w:cs="仿宋_GB2312"/>
          <w:b w:val="0"/>
          <w:bCs w:val="0"/>
          <w:color w:val="000000"/>
          <w:sz w:val="32"/>
          <w:szCs w:val="32"/>
          <w:lang w:val="en-US" w:eastAsia="zh-CN"/>
        </w:rPr>
        <w:t>推动政务服务标准化建设，</w:t>
      </w:r>
      <w:r>
        <w:rPr>
          <w:rFonts w:hint="eastAsia" w:ascii="仿宋_GB2312" w:hAnsi="仿宋_GB2312" w:eastAsia="仿宋_GB2312" w:cs="仿宋_GB2312"/>
          <w:b w:val="0"/>
          <w:bCs w:val="0"/>
          <w:color w:val="auto"/>
          <w:sz w:val="32"/>
          <w:szCs w:val="32"/>
          <w:lang w:val="en-US" w:eastAsia="zh-CN"/>
        </w:rPr>
        <w:t>持续推进政府信息公开规范化和标准化管理，及时修订《政务服务事项公开目录（2024年）》，并向社会公开，着力提升政务服务水平</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lang w:val="en-US" w:eastAsia="zh-CN"/>
        </w:rPr>
        <w:t>严格执行</w:t>
      </w:r>
      <w:r>
        <w:rPr>
          <w:rFonts w:hint="eastAsia" w:ascii="仿宋_GB2312" w:hAnsi="仿宋_GB2312" w:eastAsia="仿宋_GB2312" w:cs="仿宋_GB2312"/>
          <w:b w:val="0"/>
          <w:bCs w:val="0"/>
          <w:sz w:val="32"/>
          <w:szCs w:val="32"/>
          <w:lang w:val="en-US" w:eastAsia="zh-CN"/>
        </w:rPr>
        <w:t>行政执法信息公示制度，严把信息公开质量，</w:t>
      </w:r>
      <w:r>
        <w:rPr>
          <w:rFonts w:hint="eastAsia" w:ascii="仿宋_GB2312" w:hAnsi="仿宋_GB2312" w:eastAsia="仿宋_GB2312" w:cs="仿宋_GB2312"/>
          <w:b w:val="0"/>
          <w:bCs w:val="0"/>
          <w:color w:val="000000"/>
          <w:sz w:val="32"/>
          <w:szCs w:val="32"/>
          <w:lang w:val="en-US" w:eastAsia="zh-CN"/>
        </w:rPr>
        <w:t>2024年全年通过福建省分行互联网</w:t>
      </w:r>
      <w:r>
        <w:rPr>
          <w:rFonts w:hint="eastAsia" w:ascii="仿宋_GB2312" w:hAnsi="仿宋_GB2312" w:eastAsia="仿宋_GB2312" w:cs="仿宋_GB2312"/>
          <w:b w:val="0"/>
          <w:bCs w:val="0"/>
          <w:color w:val="000000"/>
          <w:sz w:val="32"/>
          <w:szCs w:val="32"/>
          <w:lang w:val="en-US" w:eastAsia="zh-CN"/>
        </w:rPr>
        <w:t>子</w:t>
      </w:r>
      <w:r>
        <w:rPr>
          <w:rFonts w:hint="eastAsia" w:ascii="仿宋_GB2312" w:hAnsi="仿宋_GB2312" w:eastAsia="仿宋_GB2312" w:cs="仿宋_GB2312"/>
          <w:b w:val="0"/>
          <w:bCs w:val="0"/>
          <w:color w:val="000000"/>
          <w:sz w:val="32"/>
          <w:szCs w:val="32"/>
          <w:lang w:val="en-US" w:eastAsia="zh-CN"/>
        </w:rPr>
        <w:t>网站对外公开行政许可信息6000余条，公开行政处罚信息3条</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1"/>
          <w:numId w:val="0"/>
        </w:numPr>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sz w:val="32"/>
          <w:szCs w:val="32"/>
          <w:lang w:val="en-US" w:eastAsia="zh-CN"/>
        </w:rPr>
        <w:t>（二）严格落实相关制度，确保程序规范运行。</w:t>
      </w:r>
      <w:r>
        <w:rPr>
          <w:rFonts w:hint="eastAsia" w:ascii="仿宋_GB2312" w:hAnsi="仿宋_GB2312" w:eastAsia="仿宋_GB2312" w:cs="仿宋_GB2312"/>
          <w:b w:val="0"/>
          <w:bCs w:val="0"/>
          <w:sz w:val="32"/>
          <w:szCs w:val="32"/>
          <w:lang w:val="en-US" w:eastAsia="zh-CN"/>
        </w:rPr>
        <w:t>以“严真细实快”的工作作风，</w:t>
      </w:r>
      <w:r>
        <w:rPr>
          <w:rFonts w:hint="eastAsia" w:ascii="仿宋_GB2312" w:hAnsi="仿宋_GB2312" w:eastAsia="仿宋_GB2312" w:cs="仿宋_GB2312"/>
          <w:b w:val="0"/>
          <w:bCs w:val="0"/>
          <w:color w:val="000000"/>
          <w:sz w:val="32"/>
          <w:szCs w:val="32"/>
          <w:lang w:val="en-US" w:eastAsia="zh-CN"/>
        </w:rPr>
        <w:t>规范执行信息公开报送操作流程，</w:t>
      </w:r>
      <w:r>
        <w:rPr>
          <w:rFonts w:hint="eastAsia" w:ascii="仿宋_GB2312" w:hAnsi="仿宋_GB2312" w:eastAsia="仿宋_GB2312" w:cs="仿宋_GB2312"/>
          <w:b w:val="0"/>
          <w:bCs w:val="0"/>
          <w:sz w:val="32"/>
          <w:szCs w:val="32"/>
          <w:lang w:val="en-US" w:eastAsia="zh-CN"/>
        </w:rPr>
        <w:t>从严审核公开信息是否依规发布，</w:t>
      </w:r>
      <w:r>
        <w:rPr>
          <w:rFonts w:hint="eastAsia" w:ascii="仿宋_GB2312" w:hAnsi="仿宋_GB2312" w:eastAsia="仿宋_GB2312" w:cs="仿宋_GB2312"/>
          <w:b w:val="0"/>
          <w:bCs w:val="0"/>
          <w:color w:val="000000"/>
          <w:sz w:val="32"/>
          <w:szCs w:val="32"/>
          <w:lang w:val="en-US" w:eastAsia="zh-CN"/>
        </w:rPr>
        <w:t>确保相关信息报送内容与时效符合制度要求，避免</w:t>
      </w:r>
      <w:r>
        <w:rPr>
          <w:rFonts w:hint="eastAsia" w:ascii="仿宋_GB2312" w:hAnsi="仿宋_GB2312" w:eastAsia="仿宋_GB2312" w:cs="仿宋_GB2312"/>
          <w:b w:val="0"/>
          <w:bCs w:val="0"/>
          <w:sz w:val="32"/>
          <w:szCs w:val="32"/>
          <w:lang w:val="en-US" w:eastAsia="zh-CN"/>
        </w:rPr>
        <w:t>发生失泄密事件。</w:t>
      </w:r>
    </w:p>
    <w:p>
      <w:pPr>
        <w:keepNext w:val="0"/>
        <w:keepLines w:val="0"/>
        <w:pageBreakBefore w:val="0"/>
        <w:widowControl w:val="0"/>
        <w:numPr>
          <w:ilvl w:val="-1"/>
          <w:numId w:val="0"/>
        </w:numPr>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（三）持续抓好监督保障，全面防范风险隐患。</w:t>
      </w:r>
      <w:r>
        <w:rPr>
          <w:rFonts w:hint="eastAsia" w:ascii="仿宋_GB2312" w:hAnsi="仿宋_GB2312" w:eastAsia="仿宋_GB2312" w:cs="仿宋_GB2312"/>
          <w:b w:val="0"/>
          <w:bCs w:val="0"/>
          <w:sz w:val="32"/>
          <w:szCs w:val="32"/>
          <w:lang w:val="en-US" w:eastAsia="zh-CN"/>
        </w:rPr>
        <w:t>按季度对行政执法信息公示情况进行全面自查，发现存在相关问题情况的，坚持立行立改，并及时做好向上报告。</w:t>
      </w:r>
      <w:r>
        <w:rPr>
          <w:rFonts w:hint="eastAsia" w:ascii="仿宋_GB2312" w:hAnsi="仿宋_GB2312" w:eastAsia="仿宋_GB2312" w:cs="仿宋_GB2312"/>
          <w:b w:val="0"/>
          <w:bCs w:val="0"/>
          <w:color w:val="000000"/>
          <w:sz w:val="32"/>
          <w:szCs w:val="32"/>
          <w:lang w:val="en-US" w:eastAsia="zh-CN"/>
        </w:rPr>
        <w:t>及时传达学习</w:t>
      </w:r>
      <w:r>
        <w:rPr>
          <w:rFonts w:hint="eastAsia" w:ascii="仿宋_GB2312" w:hAnsi="仿宋_GB2312" w:eastAsia="仿宋_GB2312" w:cs="仿宋_GB2312"/>
          <w:b w:val="0"/>
          <w:bCs w:val="0"/>
          <w:sz w:val="32"/>
          <w:szCs w:val="32"/>
          <w:lang w:val="en-US" w:eastAsia="zh-CN"/>
        </w:rPr>
        <w:t>全省政务公开工作非现场检查情况通报内容，自觉检视反思，做好举一反三，不断完善执行。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二、主动公开政府信息情况</w:t>
      </w:r>
    </w:p>
    <w:tbl>
      <w:tblPr>
        <w:tblStyle w:val="8"/>
        <w:tblpPr w:leftFromText="180" w:rightFromText="180" w:vertAnchor="text" w:horzAnchor="page" w:tblpX="1396" w:tblpY="232"/>
        <w:tblOverlap w:val="never"/>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19"/>
        <w:gridCol w:w="2310"/>
        <w:gridCol w:w="2310"/>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89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信息内容</w:t>
            </w:r>
          </w:p>
        </w:tc>
        <w:tc>
          <w:tcPr>
            <w:tcW w:w="231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本年</w:t>
            </w:r>
            <w:r>
              <w:rPr>
                <w:rFonts w:hint="eastAsia" w:ascii="仿宋_GB2312" w:hAnsi="仿宋_GB2312" w:eastAsia="仿宋_GB2312" w:cs="仿宋_GB2312"/>
                <w:kern w:val="0"/>
                <w:sz w:val="20"/>
                <w:szCs w:val="20"/>
                <w:lang w:val="en-US" w:eastAsia="zh-CN" w:bidi="ar"/>
              </w:rPr>
              <w:t>制发件数</w:t>
            </w:r>
          </w:p>
        </w:tc>
        <w:tc>
          <w:tcPr>
            <w:tcW w:w="231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本年废止件数</w:t>
            </w:r>
          </w:p>
        </w:tc>
        <w:tc>
          <w:tcPr>
            <w:tcW w:w="186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现行有效件</w:t>
            </w:r>
            <w:r>
              <w:rPr>
                <w:rFonts w:hint="eastAsia" w:ascii="仿宋_GB2312" w:hAnsi="仿宋_GB2312" w:eastAsia="仿宋_GB2312" w:cs="仿宋_GB2312"/>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规章</w:t>
            </w:r>
          </w:p>
        </w:tc>
        <w:tc>
          <w:tcPr>
            <w:tcW w:w="23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23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18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行政规范性文件</w:t>
            </w:r>
          </w:p>
        </w:tc>
        <w:tc>
          <w:tcPr>
            <w:tcW w:w="23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231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18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color w:val="auto"/>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89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信息内容</w:t>
            </w:r>
          </w:p>
        </w:tc>
        <w:tc>
          <w:tcPr>
            <w:tcW w:w="648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行政许可</w:t>
            </w:r>
          </w:p>
        </w:tc>
        <w:tc>
          <w:tcPr>
            <w:tcW w:w="648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sz w:val="20"/>
                <w:szCs w:val="20"/>
                <w:lang w:val="en-US"/>
              </w:rPr>
            </w:pPr>
            <w:r>
              <w:rPr>
                <w:rFonts w:hint="eastAsia" w:ascii="仿宋_GB2312" w:hAnsi="仿宋_GB2312" w:eastAsia="仿宋_GB2312" w:cs="仿宋_GB2312"/>
                <w:kern w:val="0"/>
                <w:sz w:val="20"/>
                <w:szCs w:val="20"/>
                <w:lang w:val="en-US" w:eastAsia="zh-CN" w:bidi="ar"/>
              </w:rPr>
              <w:t xml:space="preserve">                    </w:t>
            </w:r>
            <w:r>
              <w:rPr>
                <w:rFonts w:hint="default" w:ascii="Times New Roman" w:hAnsi="Times New Roman" w:eastAsia="仿宋_GB2312" w:cs="Times New Roman"/>
                <w:kern w:val="0"/>
                <w:sz w:val="20"/>
                <w:szCs w:val="20"/>
                <w:lang w:val="en-US" w:eastAsia="zh-CN" w:bidi="ar"/>
              </w:rPr>
              <w:t xml:space="preserve"> </w:t>
            </w:r>
            <w:r>
              <w:rPr>
                <w:rFonts w:hint="default" w:eastAsia="仿宋_GB2312" w:cs="Times New Roman"/>
                <w:color w:val="auto"/>
                <w:kern w:val="0"/>
                <w:sz w:val="20"/>
                <w:szCs w:val="20"/>
                <w:lang w:val="en-US" w:eastAsia="zh-CN" w:bidi="ar"/>
              </w:rPr>
              <w:t>6381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89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信息内容</w:t>
            </w:r>
          </w:p>
        </w:tc>
        <w:tc>
          <w:tcPr>
            <w:tcW w:w="6481"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行政处罚</w:t>
            </w:r>
          </w:p>
        </w:tc>
        <w:tc>
          <w:tcPr>
            <w:tcW w:w="648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right="0" w:rightChars="0"/>
              <w:jc w:val="both"/>
              <w:textAlignment w:val="auto"/>
              <w:rPr>
                <w:rFonts w:hint="default" w:ascii="Times New Roman" w:hAnsi="Times New Roman" w:eastAsia="仿宋_GB2312" w:cs="Times New Roman"/>
                <w:sz w:val="20"/>
                <w:szCs w:val="20"/>
                <w:lang w:val="en-US"/>
              </w:rPr>
            </w:pPr>
            <w:r>
              <w:rPr>
                <w:rFonts w:hint="default" w:ascii="Times New Roman" w:hAnsi="Times New Roman" w:eastAsia="仿宋_GB2312" w:cs="Times New Roman"/>
                <w:kern w:val="0"/>
                <w:sz w:val="20"/>
                <w:szCs w:val="20"/>
                <w:lang w:val="en-US" w:eastAsia="zh-CN" w:bidi="ar"/>
              </w:rPr>
              <w:t xml:space="preserve">                      </w:t>
            </w:r>
            <w:r>
              <w:rPr>
                <w:rFonts w:hint="default" w:eastAsia="仿宋_GB2312" w:cs="Times New Roman"/>
                <w:sz w:val="20"/>
                <w:szCs w:val="20"/>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行政强制</w:t>
            </w:r>
          </w:p>
        </w:tc>
        <w:tc>
          <w:tcPr>
            <w:tcW w:w="648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仿宋_GB2312" w:cs="Times New Roman"/>
                <w:sz w:val="20"/>
                <w:szCs w:val="20"/>
                <w:lang w:val="en-US"/>
              </w:rPr>
            </w:pPr>
            <w:r>
              <w:rPr>
                <w:rFonts w:hint="default" w:ascii="Times New Roman" w:hAnsi="Times New Roman" w:eastAsia="仿宋_GB2312" w:cs="Times New Roman"/>
                <w:kern w:val="0"/>
                <w:sz w:val="20"/>
                <w:szCs w:val="20"/>
                <w:lang w:val="en-US" w:eastAsia="zh-CN" w:bidi="ar"/>
              </w:rPr>
              <w:t xml:space="preserve">                      </w:t>
            </w:r>
            <w:r>
              <w:rPr>
                <w:rFonts w:hint="default" w:eastAsia="仿宋_GB2312"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89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24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信息内容</w:t>
            </w:r>
          </w:p>
        </w:tc>
        <w:tc>
          <w:tcPr>
            <w:tcW w:w="648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 xml:space="preserve">                 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241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行政事业性收费</w:t>
            </w:r>
          </w:p>
        </w:tc>
        <w:tc>
          <w:tcPr>
            <w:tcW w:w="648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left"/>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kern w:val="0"/>
                <w:sz w:val="20"/>
                <w:szCs w:val="20"/>
                <w:lang w:val="en-US" w:eastAsia="zh-CN" w:bidi="ar"/>
              </w:rPr>
              <w:t xml:space="preserve">                     </w:t>
            </w:r>
            <w:r>
              <w:rPr>
                <w:rFonts w:hint="default" w:ascii="Times New Roman" w:hAnsi="Times New Roman" w:eastAsia="仿宋_GB2312" w:cs="Times New Roman"/>
                <w:color w:val="000000"/>
                <w:kern w:val="0"/>
                <w:sz w:val="20"/>
                <w:szCs w:val="20"/>
                <w:lang w:val="en-US" w:eastAsia="zh-CN" w:bidi="ar"/>
              </w:rPr>
              <w:t xml:space="preserve"> </w:t>
            </w:r>
            <w:r>
              <w:rPr>
                <w:rFonts w:hint="default" w:eastAsia="仿宋_GB2312" w:cs="Times New Roman"/>
                <w:color w:val="000000"/>
                <w:kern w:val="0"/>
                <w:sz w:val="20"/>
                <w:szCs w:val="20"/>
                <w:lang w:val="en-US" w:eastAsia="zh-CN" w:bidi="ar"/>
              </w:rPr>
              <w:t>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宋体" w:hAnsi="宋体" w:eastAsia="宋体" w:cs="宋体"/>
          <w:i w:val="0"/>
          <w:caps w:val="0"/>
          <w:color w:val="333333"/>
          <w:spacing w:val="0"/>
          <w:sz w:val="24"/>
          <w:szCs w:val="24"/>
        </w:rPr>
      </w:pPr>
      <w:r>
        <w:rPr>
          <w:rFonts w:hint="eastAsia" w:ascii="黑体" w:hAnsi="黑体" w:eastAsia="黑体" w:cs="黑体"/>
          <w:b w:val="0"/>
          <w:bCs/>
          <w:i w:val="0"/>
          <w:caps w:val="0"/>
          <w:color w:val="333333"/>
          <w:spacing w:val="0"/>
          <w:sz w:val="32"/>
          <w:szCs w:val="32"/>
          <w:shd w:val="clear" w:color="auto" w:fill="FFFFFF"/>
        </w:rPr>
        <w:t>三、收到和处理政府信息公开申请情况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57"/>
        <w:gridCol w:w="943"/>
        <w:gridCol w:w="3220"/>
        <w:gridCol w:w="688"/>
        <w:gridCol w:w="688"/>
        <w:gridCol w:w="688"/>
        <w:gridCol w:w="688"/>
        <w:gridCol w:w="688"/>
        <w:gridCol w:w="688"/>
        <w:gridCol w:w="9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（本列数据的勾稽关系为：第一项加第二项之和，等于第三项加第四项之和）</w:t>
            </w:r>
          </w:p>
        </w:tc>
        <w:tc>
          <w:tcPr>
            <w:tcW w:w="502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法人或其他组织</w:t>
            </w:r>
          </w:p>
        </w:tc>
        <w:tc>
          <w:tcPr>
            <w:tcW w:w="901"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其他</w:t>
            </w:r>
          </w:p>
        </w:tc>
        <w:tc>
          <w:tcPr>
            <w:tcW w:w="901"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442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4420"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二、上年结转政府信息公开申请数量</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257"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三、本年度办理结果</w:t>
            </w:r>
          </w:p>
        </w:tc>
        <w:tc>
          <w:tcPr>
            <w:tcW w:w="4163"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（一）予以公开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4163"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（二）部分公开（区分处理的，只计这一情形，不计其他情形）</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（三）不予公开</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1.属于国家秘密</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2.其他法律行政法规禁止公开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3.危及“三安全一稳定”</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4.保护第三方合法权益</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5.属于三类内部事务信息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6.属于四类过程性信息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7.属于行政执法案卷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8.属于行政查询事项</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（四）无法提供</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1.本机关不掌握相关政府信息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2.没有现成信息需要另行制作</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2"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3.补正后申请内容仍不明确</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（五）不予处理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1.信访举报投诉类申请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2.重复申请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3.要求提供公开出版物</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4.无正当理由大量反复申请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5.要求行政机关确认或重新出具已获取信息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6"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（六）其他处理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1.申请人无正当理由逾期不补正、行政机关不再处理其政府信息公开申请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both"/>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2.申请人逾期未按收费通知要求缴纳费用、行政机关不再处理其政府信息公开申请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943"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32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3.其他</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leftChars="0" w:right="0" w:rightChars="0"/>
              <w:jc w:val="center"/>
              <w:textAlignment w:val="auto"/>
              <w:rPr>
                <w:rFonts w:hint="default" w:ascii="Times New Roman" w:hAnsi="Times New Roman" w:eastAsia="仿宋_GB2312" w:cs="Times New Roman"/>
                <w:sz w:val="20"/>
                <w:szCs w:val="20"/>
                <w:lang w:val="en-US" w:eastAsia="zh-CN"/>
              </w:rPr>
            </w:pPr>
            <w:r>
              <w:rPr>
                <w:rFonts w:hint="default" w:eastAsia="仿宋_GB2312" w:cs="Times New Roman"/>
                <w:sz w:val="20"/>
                <w:szCs w:val="20"/>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60" w:lineRule="exact"/>
        <w:ind w:left="0" w:right="0" w:firstLine="640" w:firstLineChars="200"/>
        <w:jc w:val="left"/>
        <w:textAlignment w:val="auto"/>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其他</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其他</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其他</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240" w:lineRule="auto"/>
              <w:ind w:left="0" w:right="0" w:firstLine="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0"/>
                <w:szCs w:val="20"/>
                <w:lang w:val="en-US" w:eastAsia="zh-CN"/>
              </w:rPr>
            </w:pPr>
            <w:r>
              <w:rPr>
                <w:rFonts w:hint="default" w:eastAsia="仿宋_GB2312" w:cs="Times New Roman"/>
                <w:color w:val="auto"/>
                <w:sz w:val="20"/>
                <w:szCs w:val="20"/>
                <w:lang w:val="en-US" w:eastAsia="zh-CN"/>
              </w:rPr>
              <w:t>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r>
        <w:rPr>
          <w:rFonts w:hint="eastAsia" w:ascii="黑体" w:hAnsi="黑体" w:eastAsia="黑体" w:cs="黑体"/>
          <w:b w:val="0"/>
          <w:bCs/>
          <w:i w:val="0"/>
          <w:caps w:val="0"/>
          <w:color w:val="333333"/>
          <w:spacing w:val="0"/>
          <w:sz w:val="32"/>
          <w:szCs w:val="32"/>
          <w:shd w:val="clear" w:color="auto" w:fill="FFFFFF"/>
        </w:rPr>
        <w:t>五、存在的主要问题及改进情况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r>
        <w:rPr>
          <w:rFonts w:hint="eastAsia" w:ascii="仿宋_GB2312" w:hAnsi="仿宋_GB2312" w:eastAsia="仿宋_GB2312" w:cs="黑体"/>
          <w:b w:val="0"/>
          <w:bCs/>
          <w:i w:val="0"/>
          <w:caps w:val="0"/>
          <w:color w:val="333333"/>
          <w:spacing w:val="0"/>
          <w:sz w:val="32"/>
          <w:szCs w:val="32"/>
          <w:shd w:val="clear" w:color="auto" w:fill="FFFFFF"/>
          <w:lang w:val="en-US" w:eastAsia="zh-CN"/>
        </w:rPr>
        <w:t xml:space="preserve"> </w:t>
      </w:r>
      <w:r>
        <w:rPr>
          <w:rFonts w:hint="eastAsia" w:ascii="仿宋_GB2312" w:hAnsi="仿宋_GB2312" w:eastAsia="仿宋_GB2312" w:cs="黑体"/>
          <w:b w:val="0"/>
          <w:bCs/>
          <w:i w:val="0"/>
          <w:caps w:val="0"/>
          <w:color w:val="auto"/>
          <w:spacing w:val="0"/>
          <w:sz w:val="32"/>
          <w:szCs w:val="32"/>
          <w:shd w:val="clear" w:color="auto" w:fill="FFFFFF"/>
          <w:lang w:val="en-US" w:eastAsia="zh-CN"/>
        </w:rPr>
        <w:t>当前，漳州市分行政府信息公开工作存在个别行政许可事项公开不及时的问题。针对此问题，漳州市分行将加强对相关业务部门的督促指导，推动相关业务部门增强主动公开意识，确保政府信息公开工作落实更及时、更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pPr>
      <w:r>
        <w:rPr>
          <w:rFonts w:hint="eastAsia" w:ascii="黑体" w:hAnsi="黑体" w:eastAsia="黑体" w:cs="黑体"/>
          <w:b w:val="0"/>
          <w:bCs/>
          <w:i w:val="0"/>
          <w:caps w:val="0"/>
          <w:color w:val="333333"/>
          <w:spacing w:val="0"/>
          <w:sz w:val="32"/>
          <w:szCs w:val="32"/>
          <w:shd w:val="clear" w:color="auto" w:fill="FFFFFF"/>
        </w:rPr>
        <w:t>六、其他需要报告的事项</w:t>
      </w:r>
    </w:p>
    <w:p>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sz w:val="32"/>
          <w:lang w:val="en-US" w:eastAsia="zh-CN"/>
        </w:rPr>
        <w:t>无。</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汉鼎简中黑">
    <w:altName w:val="黑体"/>
    <w:panose1 w:val="02010609010101010101"/>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C0E5E"/>
    <w:rsid w:val="0B4B1ADD"/>
    <w:rsid w:val="11330940"/>
    <w:rsid w:val="12581901"/>
    <w:rsid w:val="1E8052F7"/>
    <w:rsid w:val="1F04232D"/>
    <w:rsid w:val="26C01A21"/>
    <w:rsid w:val="28CB2A72"/>
    <w:rsid w:val="2A7C0E5E"/>
    <w:rsid w:val="2C6F63F4"/>
    <w:rsid w:val="2CF06B5D"/>
    <w:rsid w:val="303310E1"/>
    <w:rsid w:val="362D0B3C"/>
    <w:rsid w:val="44C62D1E"/>
    <w:rsid w:val="47263C71"/>
    <w:rsid w:val="4AD634A6"/>
    <w:rsid w:val="4FE15E74"/>
    <w:rsid w:val="4FE64AA3"/>
    <w:rsid w:val="58984638"/>
    <w:rsid w:val="6F992E66"/>
    <w:rsid w:val="74FB18F9"/>
    <w:rsid w:val="7C967D9B"/>
    <w:rsid w:val="7D13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200" w:beforeLines="0" w:beforeAutospacing="0" w:after="200" w:afterLines="0" w:afterAutospacing="0" w:line="400" w:lineRule="exact"/>
      <w:outlineLvl w:val="0"/>
    </w:pPr>
    <w:rPr>
      <w:rFonts w:ascii="Times New Roman" w:hAnsi="Times New Roman" w:eastAsia="方正小标宋_GBK"/>
      <w:b w:val="0"/>
      <w:kern w:val="44"/>
      <w:sz w:val="36"/>
    </w:rPr>
  </w:style>
  <w:style w:type="paragraph" w:styleId="2">
    <w:name w:val="heading 3"/>
    <w:basedOn w:val="1"/>
    <w:next w:val="1"/>
    <w:qFormat/>
    <w:uiPriority w:val="2"/>
    <w:pPr>
      <w:autoSpaceDE w:val="0"/>
      <w:autoSpaceDN w:val="0"/>
      <w:adjustRightInd w:val="0"/>
      <w:snapToGrid w:val="0"/>
      <w:spacing w:before="200" w:beforeLines="0" w:after="120" w:afterLines="0" w:line="360" w:lineRule="auto"/>
      <w:ind w:firstLine="480" w:firstLineChars="200"/>
      <w:outlineLvl w:val="2"/>
    </w:pPr>
    <w:rPr>
      <w:rFonts w:ascii="Arial" w:hAnsi="Arial" w:eastAsia="汉鼎简中黑" w:cs="Arial"/>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2024-02-29T03:34:00Z</dcterms:created>
  <dc:creator>张文妍</dc:creator>
  <cp:lastModifiedBy>黄敬华</cp:lastModifiedBy>
  <dcterms:modified xsi:type="dcterms:W3CDTF">2025-03-31T03:04:19Z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2F8E098DA5324726B4DCA58EFA72CC54</vt:lpwstr>
  </property>
</Properties>
</file>