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非银行支付机构跨省、自治区、直辖市变更住所审批</w:t>
      </w:r>
    </w:p>
    <w:p>
      <w:pPr>
        <w:pStyle w:val="2"/>
        <w:spacing w:line="560" w:lineRule="exact"/>
        <w:rPr>
          <w:rFonts w:hint="eastAsia" w:ascii="黑体" w:hAnsi="黑体" w:eastAsia="黑体" w:cs="黑体"/>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非银行支付机构跨省、自治区、直辖市变更住所审批</w:t>
      </w:r>
      <w:r>
        <w:rPr>
          <w:rFonts w:hint="eastAsia" w:ascii="仿宋_GB2312" w:hAnsi="仿宋_GB2312" w:eastAsia="仿宋_GB2312" w:cs="仿宋_GB2312"/>
          <w:strike w:val="0"/>
          <w:dstrike w:val="0"/>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lang w:eastAsia="zh-CN"/>
        </w:rPr>
        <w:t>拟变更后住所所在地</w:t>
      </w:r>
      <w:r>
        <w:rPr>
          <w:rFonts w:hint="eastAsia" w:ascii="仿宋_GB2312" w:hAnsi="仿宋_GB2312" w:eastAsia="仿宋_GB2312" w:cs="仿宋_GB2312"/>
          <w:sz w:val="32"/>
          <w:szCs w:val="32"/>
          <w:highlight w:val="none"/>
          <w:lang w:eastAsia="zh-CN"/>
        </w:rPr>
        <w:t>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（不含厦门市）的非银行支付机构</w:t>
      </w:r>
      <w:r>
        <w:rPr>
          <w:rFonts w:hint="eastAsia" w:ascii="仿宋_GB2312" w:hAnsi="仿宋_GB2312" w:eastAsia="仿宋_GB2312" w:cs="仿宋_GB2312"/>
          <w:strike w:val="0"/>
          <w:dstrike w:val="0"/>
          <w:sz w:val="32"/>
          <w:szCs w:val="32"/>
          <w:lang w:val="en-US"/>
        </w:rPr>
        <w:t>跨省、自治区、直辖市变更住所</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前审后批</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中国人民银行法》第四条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“中国人民银行履行下列职责：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（九）维护支付、清算系统的正常运行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2.《非银行支付机构监督管理条例》（中华人民共和国国务院令</w:t>
      </w:r>
      <w:r>
        <w:rPr>
          <w:rFonts w:hint="eastAsia" w:ascii="仿宋_GB2312" w:hAnsi="仿宋_GB2312" w:eastAsia="仿宋_GB2312" w:cs="仿宋_GB2312"/>
          <w:color w:val="000000"/>
          <w:sz w:val="32"/>
          <w:szCs w:val="32"/>
          <w:lang w:val="en-US" w:eastAsia="zh-CN"/>
        </w:rPr>
        <w:t>第</w:t>
      </w:r>
      <w:r>
        <w:rPr>
          <w:rFonts w:hint="eastAsia" w:ascii="仿宋_GB2312" w:hAnsi="仿宋_GB2312" w:eastAsia="仿宋_GB2312" w:cs="仿宋_GB2312"/>
          <w:color w:val="000000"/>
          <w:sz w:val="32"/>
          <w:szCs w:val="32"/>
        </w:rPr>
        <w:t>768号，以下简称《条例》）第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条规定：“非银行支付机构办理下列事项，应当经中国人民银行批准：</w:t>
      </w:r>
      <w:r>
        <w:rPr>
          <w:rFonts w:hint="eastAsia" w:ascii="仿宋_GB2312" w:hAnsi="仿宋_GB2312" w:eastAsia="仿宋_GB2312" w:cs="仿宋_GB2312"/>
          <w:sz w:val="32"/>
          <w:szCs w:val="32"/>
          <w:lang w:eastAsia="zh-CN"/>
        </w:rPr>
        <w:t>……（二）跨省、自治区、直辖市变更住所……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lang w:eastAsia="zh-CN"/>
        </w:rPr>
        <w:t>二十一</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color w:val="000000"/>
          <w:sz w:val="32"/>
          <w:szCs w:val="32"/>
          <w:lang w:eastAsia="zh-CN"/>
        </w:rPr>
        <w:t>：“《条例》规定的非银行支付机构变更事项包括：</w:t>
      </w:r>
      <w:r>
        <w:rPr>
          <w:rFonts w:hint="eastAsia" w:ascii="仿宋_GB2312" w:hAnsi="仿宋_GB2312" w:eastAsia="仿宋_GB2312" w:cs="仿宋_GB2312"/>
          <w:sz w:val="32"/>
          <w:szCs w:val="32"/>
          <w:lang w:eastAsia="zh-CN"/>
        </w:rPr>
        <w:t>……</w:t>
      </w:r>
      <w:r>
        <w:rPr>
          <w:rFonts w:hint="default" w:ascii="仿宋_GB2312" w:hAnsi="宋体" w:eastAsia="仿宋_GB2312" w:cs="宋体"/>
          <w:color w:val="auto"/>
          <w:kern w:val="0"/>
          <w:sz w:val="32"/>
          <w:szCs w:val="32"/>
          <w:highlight w:val="none"/>
          <w:lang w:val="en-US" w:eastAsia="zh-CN"/>
        </w:rPr>
        <w:t>（三）跨省、自治区、直辖市变更住所</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三十二</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sz w:val="32"/>
          <w:szCs w:val="32"/>
          <w:lang w:eastAsia="zh-CN"/>
        </w:rPr>
        <w:t>非银行支付机构申请跨省、自治区、直辖市变更住所的，应当向拟变更后住所所在地中国人民银行的分支机构提交申请……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（1）《非银行支付机构监督管理条例》</w:t>
      </w:r>
      <w:r>
        <w:rPr>
          <w:rFonts w:hint="eastAsia" w:ascii="仿宋_GB2312" w:hAnsi="仿宋_GB2312" w:eastAsia="仿宋_GB2312" w:cs="仿宋_GB2312"/>
          <w:b w:val="0"/>
          <w:bCs w:val="0"/>
          <w:strike w:val="0"/>
          <w:dstrike w:val="0"/>
          <w:color w:val="auto"/>
          <w:sz w:val="32"/>
          <w:szCs w:val="32"/>
          <w:lang w:val="en-US" w:eastAsia="zh-CN"/>
        </w:rPr>
        <w:t>（国务院令第768号）</w:t>
      </w:r>
      <w:r>
        <w:rPr>
          <w:rFonts w:hint="default" w:ascii="仿宋_GB2312" w:hAnsi="仿宋_GB2312" w:eastAsia="仿宋_GB2312" w:cs="仿宋_GB2312"/>
          <w:b w:val="0"/>
          <w:bCs w:val="0"/>
          <w:strike w:val="0"/>
          <w:dstrike w:val="0"/>
          <w:color w:val="auto"/>
          <w:sz w:val="32"/>
          <w:szCs w:val="32"/>
          <w:lang w:val="en-US" w:eastAsia="zh-CN"/>
        </w:rPr>
        <w:t>第六条　设立非银行支付机构，应当经中国人民银行批准，取得支付业务许可。</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第七条　设立非银行支付机构，应当符合《中华人民共和国公司法》的规定，并具备以下条件：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（一）有符合本条例规定的注册资本；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（二）主要股东、实际控制人财务状况和诚信记录良好，最近3年无重大违法违规记录；主要股东、实际控制人为公司的，其股权结构应当清晰透明，不存在权属纠纷；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（三）拟任董事、监事和高级管理人员熟悉相关法律法规，具有履行职责所需的经营管理能力，最近3年无重大违法违规记录；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（四）有符合规定的经营场所、安全保障措施以及业务系统、设施和技术；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（五）有健全的公司治理结构、内部控制和风险管理制度、退出预案以及用户权益保障机制；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（六）法律、行政法规以及中国人民银行规章规定的其他审慎性条件</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第十二条　非银行支付机构的主要经营场所应当与登记的住所保持一致。……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第十三条　非银行支付机构办理下列事项，应当经中国人民银行批准：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（一）变更名称、注册资本、业务类型或者经营地域范围；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第十六条　非银行支付机构应当按照支付业务许可证载明的业务类型和经营地域范围从事支付业务，未经批准不得从事依法需经批准的其他业务。</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（2）《非银行支付机构监督管理条例实施细则》</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中国人民银行令〔2024〕第4号发布</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第七条 本细则第六条所称重大违法违规记录是指从事犯罪活动，影响恶劣；或者存在《条例》第五十一条第一项、第五项情形</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或者存在《条例》第五十条任一情形和第五十一条除第一项、第五项之外的情形，并且具有下列情节之一的：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（一）司法机关认定主动为非法活动提供支付服务，拒不整改或者性质恶劣。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（二）伪造系统数据或者提供虚假材料等，导致监管工作无法正常开展。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（三）情节恶劣，造成严重后果或者社会影响。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对非银行支付机构在《条例》施行前存在的重大违法违规记录的认定，参照上述规定执行。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第二十一条 《条例》规定的非银行支付机构变更事项包括：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（四）变更业务类型或者经营地域范围。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（六）变更名称或者注册资本。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非银行支付机构因办理上述变更事项涉及全部支付业务终止的，应当按照本章第三节有关规定办理。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非银行支付机构如需改变中国人民银行的分支机构已受理的变更申请，应当撤回原申请后按本细则要求重新提交变更申请。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第三十二条 非银行支付机构申请跨省、自治区、直辖市变更住所的，应当向拟变更后住所所在地中国人民银行的分支机构提交申请。拟变更后住所所在地中国人民银行的分支机构应当征求原住所所在地中国人民银行的分支机构意见，原住所所在地中国人民银行的分支机构应当自收到征求意见函起10日内，向拟变更后住所所在地中国人民银行的分支机构出具审查意见，审查意见包括但不限于非银行支付机构备付金安全情况和合规经营情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第三十三条 非银行支付机构申请跨省、自治区、直辖市变更住所的，应当符合下列条件：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（一）拟变更后的支付业务设施和住所符合《条例》及本细则有关规定。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（二）非银行支付机构经核准的经营地域范围覆盖变更后的住所所在地。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（四）诚信记录良好。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（五）备付金管理机制健全有效。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（一）变更准予行政许可决定书或者行政许可证记载事项的；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（一）书面申请，载明申请人基本情况、主要股东和实际控制人情况、变更原因、变更方案等。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（二）申请人相关材料，包括：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1.营业执照（副本）复印件和支付业务许可证复印件。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3.诚信记录良好材料，含企业征信报告，以及其他能够说明诚信记录良好的相关材料。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4.备付金安全承诺。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5.公司合规经营情况说明，含最近3年经营情况、被投诉举报情况、受到行政处罚或者被采取监管措施情况，以及上述相关问题的整改情况。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（三）股东会或者其他有权决定机构同意申请人拟变更的决议文件。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（四）拟变更后的支付业务设施和住所合规情况材料</w:t>
      </w:r>
      <w:r>
        <w:rPr>
          <w:rFonts w:hint="eastAsia"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color w:val="auto"/>
          <w:sz w:val="32"/>
          <w:szCs w:val="32"/>
        </w:rPr>
        <w:t>支付业务设施材料</w:t>
      </w:r>
      <w:r>
        <w:rPr>
          <w:rFonts w:hint="eastAsia" w:ascii="仿宋_GB2312" w:hAnsi="仿宋_GB2312" w:eastAsia="仿宋_GB2312" w:cs="仿宋_GB2312"/>
          <w:b w:val="0"/>
          <w:bCs w:val="0"/>
          <w:strike w:val="0"/>
          <w:dstrike w:val="0"/>
          <w:color w:val="auto"/>
          <w:sz w:val="32"/>
          <w:szCs w:val="32"/>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支付业务设施机房部署情况。非银行支付机构生产中心机房原则上应当与非银行支付机构主要经营场所所在地位于同一省、自治区、直辖市。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支付业务设施符合中国人民银行规定的业务规范、技术标准和安全要求说明材料。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rPr>
        <w:t>住所合规情况材料</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rPr>
        <w:t>住所所有权或者使用权的说明材料，以及经营场所安全的相关材料。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福建省分行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pStyle w:val="2"/>
        <w:spacing w:line="560" w:lineRule="exact"/>
        <w:rPr>
          <w:rFonts w:hint="eastAsia" w:ascii="仿宋_GB2312" w:hAnsi="仿宋_GB2312" w:eastAsia="仿宋_GB2312" w:cs="仿宋_GB2312"/>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2.清点无误的，中国人民银行</w:t>
      </w:r>
      <w:r>
        <w:rPr>
          <w:rFonts w:hint="eastAsia" w:ascii="仿宋_GB2312" w:hAnsi="仿宋_GB2312" w:eastAsia="仿宋_GB2312" w:cs="仿宋_GB2312"/>
          <w:color w:val="000000"/>
          <w:sz w:val="32"/>
          <w:szCs w:val="32"/>
          <w:lang w:eastAsia="zh-CN"/>
        </w:rPr>
        <w:t>福建</w:t>
      </w:r>
      <w:r>
        <w:rPr>
          <w:rFonts w:hint="eastAsia" w:ascii="仿宋_GB2312" w:hAnsi="仿宋_GB2312" w:eastAsia="仿宋_GB2312" w:cs="仿宋_GB2312"/>
          <w:color w:val="000000"/>
          <w:sz w:val="32"/>
          <w:szCs w:val="32"/>
          <w:lang w:val="en-US" w:eastAsia="zh-CN"/>
        </w:rPr>
        <w:t>省</w:t>
      </w:r>
      <w:r>
        <w:rPr>
          <w:rFonts w:hint="eastAsia" w:ascii="仿宋_GB2312" w:hAnsi="仿宋_GB2312" w:eastAsia="仿宋_GB2312" w:cs="仿宋_GB2312"/>
          <w:color w:val="000000"/>
          <w:sz w:val="32"/>
          <w:szCs w:val="32"/>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对于申请材料不齐全或者不符合法定形式或者存在错误不能当场更正的，中国人民银行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退回已经收到的全部申请材料</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对于申请人</w:t>
      </w:r>
      <w:r>
        <w:rPr>
          <w:rFonts w:hint="eastAsia" w:ascii="仿宋_GB2312" w:hAnsi="仿宋_GB2312" w:eastAsia="仿宋_GB2312" w:cs="仿宋_GB2312"/>
          <w:color w:val="000000"/>
          <w:sz w:val="32"/>
          <w:szCs w:val="32"/>
          <w:u w:val="none"/>
          <w:lang w:eastAsia="zh-CN"/>
        </w:rPr>
        <w:t>申请事项不属于中国人民银行职权范围、</w:t>
      </w:r>
      <w:r>
        <w:rPr>
          <w:rFonts w:hint="eastAsia" w:ascii="仿宋_GB2312" w:hAnsi="仿宋_GB2312" w:eastAsia="仿宋_GB2312" w:cs="仿宋_GB2312"/>
          <w:color w:val="000000"/>
          <w:sz w:val="32"/>
          <w:szCs w:val="32"/>
          <w:lang w:eastAsia="zh-CN"/>
        </w:rPr>
        <w:t>提供的补正材料不齐全、不符合法定形式，补</w:t>
      </w:r>
      <w:bookmarkStart w:id="0" w:name="_GoBack"/>
      <w:bookmarkEnd w:id="0"/>
      <w:r>
        <w:rPr>
          <w:rFonts w:hint="eastAsia" w:ascii="仿宋_GB2312" w:hAnsi="仿宋_GB2312" w:eastAsia="仿宋_GB2312" w:cs="仿宋_GB2312"/>
          <w:color w:val="000000"/>
          <w:sz w:val="32"/>
          <w:szCs w:val="32"/>
          <w:lang w:eastAsia="zh-CN"/>
        </w:rPr>
        <w:t>正后仍存在不符合受理条件的其他情形，中国人民银行福建省分行不予受理，并出具加盖本行行政许可专用章的不予受理决定书，说明不予受理的理由和依据，退回已经收到的全部申请材料。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中国人民银行福建省分行于收到申请材料或者全部补正申请材料之日起5个工作日内，出具加盖本行行政许可专用章并注明受理日期的行政许可受理通知书。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w:t>
      </w:r>
      <w:r>
        <w:rPr>
          <w:rFonts w:hint="eastAsia" w:ascii="仿宋_GB2312" w:hAnsi="仿宋_GB2312" w:eastAsia="仿宋_GB2312" w:cs="仿宋_GB2312"/>
          <w:color w:val="000000"/>
          <w:sz w:val="32"/>
          <w:szCs w:val="32"/>
          <w:lang w:eastAsia="zh-CN"/>
        </w:rPr>
        <w:t>除即时告知的外，</w:t>
      </w:r>
      <w:r>
        <w:rPr>
          <w:rFonts w:hint="eastAsia" w:ascii="仿宋_GB2312" w:hAnsi="仿宋_GB2312" w:eastAsia="仿宋_GB2312" w:cs="仿宋_GB2312"/>
          <w:sz w:val="32"/>
          <w:szCs w:val="32"/>
          <w:lang w:eastAsia="zh-CN"/>
        </w:rPr>
        <w:t>中国人民银行福建省分行</w:t>
      </w:r>
      <w:r>
        <w:rPr>
          <w:rFonts w:hint="eastAsia" w:ascii="仿宋_GB2312" w:hAnsi="仿宋_GB2312" w:eastAsia="仿宋_GB2312" w:cs="仿宋_GB2312"/>
          <w:sz w:val="32"/>
          <w:szCs w:val="32"/>
        </w:rPr>
        <w:t>自相关文书作出之日起5个工作日内送达当事人。</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eastAsia="zh-CN"/>
        </w:rPr>
        <w:t>初审</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中国人民银行福建省分行自受理申请之日对申请材料进行初步审查，同时向原住所所在地中国人民银行的分支机构征求意见，结合材料审核和征求意见情况将申请材料和初步审查意见报中国人民银行。</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人民银行福建省分行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中国人民银行福建省分行自受理申请之日起3个月内作出批准或者不予批准的决定。其中，《中国人民银行行政许可实施办法》（中国人民银行令〔2020〕第1号发布）第三十三条规定的相关程序不计入时限。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国人民银行福建省分行根据审批结果作出行政许可决定，准予许可的，出具准予行政许可决定书并予以公告；不予许可的，出具不予行政许可决定书。中国人民银行福建省分行根据行政许可决定将准予行政许可决定书或不予行政许可决定书送达申请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福建省福州市鼓楼区五四路</w:t>
      </w:r>
      <w:r>
        <w:rPr>
          <w:rFonts w:hint="eastAsia" w:ascii="仿宋_GB2312" w:hAnsi="仿宋_GB2312" w:eastAsia="仿宋_GB2312" w:cs="仿宋_GB2312"/>
          <w:sz w:val="32"/>
          <w:szCs w:val="32"/>
          <w:lang w:val="en-US" w:eastAsia="zh-CN"/>
        </w:rPr>
        <w:t>220号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pPr>
        <w:spacing w:line="560" w:lineRule="exact"/>
      </w:pP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81C7B"/>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43208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C379E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81C7B"/>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3FC05EC"/>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8B676A"/>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40311"/>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8170E3"/>
    <w:rsid w:val="2A9318FA"/>
    <w:rsid w:val="2A9653B4"/>
    <w:rsid w:val="2AAE3572"/>
    <w:rsid w:val="2AB97222"/>
    <w:rsid w:val="2ACF11F1"/>
    <w:rsid w:val="2AE25148"/>
    <w:rsid w:val="2AEC5275"/>
    <w:rsid w:val="2B0013A6"/>
    <w:rsid w:val="2B0F3DFB"/>
    <w:rsid w:val="2B17795C"/>
    <w:rsid w:val="2B191AE4"/>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1660B2"/>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EC60AD"/>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50558"/>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6752D0"/>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737C3"/>
    <w:rsid w:val="54B900E8"/>
    <w:rsid w:val="54C37A60"/>
    <w:rsid w:val="54D321BD"/>
    <w:rsid w:val="54D837C7"/>
    <w:rsid w:val="54D93F0E"/>
    <w:rsid w:val="54DB1A60"/>
    <w:rsid w:val="54DB1C64"/>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74010C"/>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6C5F7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4D11F1"/>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766A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2025-04-10T07:45:00Z</dcterms:created>
  <dc:creator>杨慧祺</dc:creator>
  <cp:lastModifiedBy>邹也</cp:lastModifiedBy>
  <dcterms:modified xsi:type="dcterms:W3CDTF">2025-04-22T02:10:10Z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FA4341BDAF974869919947A198BA7421</vt:lpwstr>
  </property>
</Properties>
</file>